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5069D" w:rsidRDefault="006B05DC">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sidR="0016431C">
        <w:rPr>
          <w:rFonts w:ascii="Arial" w:hAnsi="Arial" w:cs="Arial"/>
          <w:b/>
          <w:bCs/>
          <w:sz w:val="22"/>
          <w:szCs w:val="22"/>
        </w:rPr>
        <w:t xml:space="preserve">Meeting </w:t>
      </w:r>
      <w:r>
        <w:rPr>
          <w:rFonts w:ascii="Arial" w:hAnsi="Arial" w:cs="Arial" w:hint="eastAsia"/>
          <w:b/>
          <w:bCs/>
          <w:sz w:val="22"/>
          <w:szCs w:val="22"/>
        </w:rPr>
        <w:t>#100</w:t>
      </w:r>
      <w:r w:rsidR="0016431C">
        <w:rPr>
          <w:rFonts w:ascii="Arial" w:hAnsi="Arial" w:cs="Arial"/>
          <w:b/>
          <w:bCs/>
          <w:sz w:val="22"/>
          <w:szCs w:val="22"/>
        </w:rPr>
        <w:t>bis</w:t>
      </w:r>
      <w:r w:rsidR="00E83F88">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00D50C53" w:rsidRPr="00D50C53">
        <w:rPr>
          <w:rFonts w:ascii="Arial" w:hAnsi="Arial" w:cs="Arial"/>
          <w:b/>
          <w:bCs/>
          <w:sz w:val="22"/>
          <w:szCs w:val="22"/>
        </w:rPr>
        <w:t>R1-2001883</w:t>
      </w:r>
    </w:p>
    <w:p w:rsidR="00D5069D" w:rsidRDefault="0016431C">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w:t>
      </w:r>
      <w:r>
        <w:rPr>
          <w:rFonts w:ascii="Arial" w:hAnsi="Arial" w:cs="Arial" w:hint="eastAsia"/>
          <w:b/>
          <w:bCs/>
          <w:sz w:val="22"/>
          <w:szCs w:val="22"/>
          <w:lang w:eastAsia="ja-JP"/>
        </w:rPr>
        <w:t xml:space="preserve">, </w:t>
      </w:r>
      <w:r>
        <w:rPr>
          <w:rFonts w:ascii="Arial" w:hAnsi="Arial" w:cs="Arial"/>
          <w:b/>
          <w:bCs/>
          <w:sz w:val="22"/>
          <w:szCs w:val="22"/>
          <w:lang w:eastAsia="ja-JP"/>
        </w:rPr>
        <w:t>April</w:t>
      </w:r>
      <w:r>
        <w:rPr>
          <w:rFonts w:ascii="Arial" w:hAnsi="Arial" w:cs="Arial" w:hint="eastAsia"/>
          <w:b/>
          <w:bCs/>
          <w:sz w:val="22"/>
          <w:szCs w:val="22"/>
          <w:lang w:eastAsia="ja-JP"/>
        </w:rPr>
        <w:t xml:space="preserve"> 2</w:t>
      </w:r>
      <w:r>
        <w:rPr>
          <w:rFonts w:ascii="Arial" w:hAnsi="Arial" w:cs="Arial"/>
          <w:b/>
          <w:bCs/>
          <w:sz w:val="22"/>
          <w:szCs w:val="22"/>
          <w:lang w:eastAsia="ja-JP"/>
        </w:rPr>
        <w:t>0</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sidR="00E83F88">
        <w:rPr>
          <w:rFonts w:ascii="Arial" w:hAnsi="Arial" w:cs="Arial"/>
          <w:b/>
          <w:bCs/>
          <w:sz w:val="22"/>
          <w:szCs w:val="22"/>
          <w:lang w:eastAsia="ja-JP"/>
        </w:rPr>
        <w:t>30</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w:t>
      </w:r>
      <w:r w:rsidR="006B05DC">
        <w:rPr>
          <w:rFonts w:ascii="Arial" w:hAnsi="Arial" w:cs="Arial" w:hint="eastAsia"/>
          <w:b/>
          <w:bCs/>
          <w:sz w:val="22"/>
          <w:szCs w:val="22"/>
        </w:rPr>
        <w:t>0</w:t>
      </w:r>
    </w:p>
    <w:p w:rsidR="00D5069D" w:rsidRDefault="006B05DC" w:rsidP="00AD627A">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w:t>
      </w:r>
      <w:r w:rsidR="001C689C">
        <w:rPr>
          <w:rFonts w:ascii="Arial" w:hAnsi="Arial"/>
          <w:b/>
          <w:sz w:val="22"/>
          <w:szCs w:val="22"/>
        </w:rPr>
        <w:t>ing</w:t>
      </w:r>
      <w:r>
        <w:rPr>
          <w:rFonts w:ascii="Arial" w:hAnsi="Arial" w:hint="eastAsia"/>
          <w:b/>
          <w:sz w:val="22"/>
          <w:szCs w:val="22"/>
        </w:rPr>
        <w:t xml:space="preserve"> issues </w:t>
      </w:r>
      <w:r w:rsidR="00E4522D">
        <w:rPr>
          <w:rFonts w:ascii="Arial" w:hAnsi="Arial"/>
          <w:b/>
          <w:sz w:val="22"/>
          <w:szCs w:val="22"/>
        </w:rPr>
        <w:t>in IAB case-1 timing</w:t>
      </w:r>
    </w:p>
    <w:p w:rsidR="00D5069D" w:rsidRDefault="006B05DC">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D5069D" w:rsidRDefault="006B05DC">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sidR="00E4522D">
        <w:rPr>
          <w:rFonts w:ascii="Arial" w:hAnsi="Arial" w:hint="eastAsia"/>
          <w:b/>
          <w:sz w:val="22"/>
          <w:szCs w:val="22"/>
        </w:rPr>
        <w:t>7.2.</w:t>
      </w:r>
      <w:r w:rsidR="00E4522D">
        <w:rPr>
          <w:rFonts w:ascii="Arial" w:hAnsi="Arial"/>
          <w:b/>
          <w:sz w:val="22"/>
          <w:szCs w:val="22"/>
        </w:rPr>
        <w:t>3</w:t>
      </w:r>
      <w:r>
        <w:rPr>
          <w:rFonts w:ascii="Arial" w:hAnsi="Arial" w:hint="eastAsia"/>
          <w:b/>
          <w:sz w:val="22"/>
          <w:szCs w:val="22"/>
        </w:rPr>
        <w:t>.</w:t>
      </w:r>
      <w:r w:rsidR="00E4522D">
        <w:rPr>
          <w:rFonts w:ascii="Arial" w:hAnsi="Arial"/>
          <w:b/>
          <w:sz w:val="22"/>
          <w:szCs w:val="22"/>
        </w:rPr>
        <w:t>4</w:t>
      </w:r>
    </w:p>
    <w:p w:rsidR="00D5069D" w:rsidRDefault="006B05DC">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5069D" w:rsidRDefault="006B05DC">
      <w:pPr>
        <w:pStyle w:val="Heading1"/>
        <w:spacing w:before="120" w:after="120"/>
        <w:ind w:left="0"/>
        <w:rPr>
          <w:rFonts w:eastAsia="SimSun"/>
        </w:rPr>
      </w:pPr>
      <w:r>
        <w:rPr>
          <w:rFonts w:eastAsia="SimSun" w:hint="eastAsia"/>
        </w:rPr>
        <w:t>Introduction</w:t>
      </w:r>
    </w:p>
    <w:p w:rsidR="00AE5439" w:rsidRDefault="00AE5439" w:rsidP="0016431C">
      <w:pPr>
        <w:spacing w:before="120" w:after="120"/>
        <w:rPr>
          <w:sz w:val="20"/>
        </w:rPr>
      </w:pPr>
      <w:r>
        <w:rPr>
          <w:sz w:val="20"/>
        </w:rPr>
        <w:t xml:space="preserve">RAN4 decided the </w:t>
      </w:r>
      <w:r w:rsidR="009C00F3">
        <w:rPr>
          <w:sz w:val="20"/>
        </w:rPr>
        <w:t xml:space="preserve">range and granularity of T_delta indication as following: </w:t>
      </w:r>
    </w:p>
    <w:p w:rsidR="009C00F3" w:rsidRPr="00156CC7" w:rsidRDefault="009C00F3" w:rsidP="009C00F3">
      <w:pPr>
        <w:pStyle w:val="ListParagraph"/>
        <w:numPr>
          <w:ilvl w:val="0"/>
          <w:numId w:val="11"/>
        </w:numPr>
        <w:spacing w:before="120" w:after="120"/>
        <w:rPr>
          <w:i/>
          <w:sz w:val="20"/>
          <w:szCs w:val="20"/>
        </w:rPr>
      </w:pPr>
      <w:r w:rsidRPr="00156CC7">
        <w:rPr>
          <w:i/>
          <w:sz w:val="20"/>
          <w:szCs w:val="20"/>
        </w:rPr>
        <w:t xml:space="preserve">The granularity of T_delta for IAB OTA timing alignment is 64Tc for FR1 and 32Tc for FR2 </w:t>
      </w:r>
      <w:fldSimple w:instr=" REF _Ref34952156 \r \h  \* MERGEFORMAT ">
        <w:r w:rsidRPr="00156CC7">
          <w:rPr>
            <w:i/>
            <w:sz w:val="20"/>
            <w:szCs w:val="20"/>
          </w:rPr>
          <w:t>[1]</w:t>
        </w:r>
      </w:fldSimple>
      <w:r w:rsidRPr="00156CC7">
        <w:rPr>
          <w:i/>
          <w:sz w:val="20"/>
          <w:szCs w:val="20"/>
        </w:rPr>
        <w:t>.</w:t>
      </w:r>
    </w:p>
    <w:p w:rsidR="00141AF0" w:rsidRPr="00156CC7" w:rsidRDefault="00141AF0" w:rsidP="00141AF0">
      <w:pPr>
        <w:pStyle w:val="ListParagraph"/>
        <w:numPr>
          <w:ilvl w:val="0"/>
          <w:numId w:val="11"/>
        </w:numPr>
        <w:spacing w:before="120" w:after="120"/>
        <w:rPr>
          <w:i/>
          <w:sz w:val="20"/>
          <w:szCs w:val="20"/>
        </w:rPr>
      </w:pPr>
      <w:r w:rsidRPr="00156CC7">
        <w:rPr>
          <w:i/>
          <w:sz w:val="20"/>
          <w:szCs w:val="20"/>
        </w:rPr>
        <w:t>The ranges of T_delta for different numerologies as shown in the below table. The detailed signaling design is dependent on RAN2 decision.</w:t>
      </w:r>
    </w:p>
    <w:p w:rsidR="00141AF0" w:rsidRPr="00141AF0" w:rsidRDefault="00141AF0" w:rsidP="00141AF0">
      <w:pPr>
        <w:keepNext/>
        <w:spacing w:beforeLines="0" w:afterLines="0" w:line="240" w:lineRule="auto"/>
        <w:jc w:val="center"/>
        <w:rPr>
          <w:b/>
          <w:sz w:val="18"/>
          <w:szCs w:val="18"/>
        </w:rPr>
      </w:pPr>
      <w:r w:rsidRPr="00141AF0">
        <w:rPr>
          <w:b/>
          <w:sz w:val="18"/>
          <w:szCs w:val="18"/>
        </w:rPr>
        <w:t xml:space="preserve">Table </w:t>
      </w:r>
      <w:r w:rsidR="00DA464A" w:rsidRPr="00141AF0">
        <w:rPr>
          <w:b/>
          <w:noProof/>
          <w:sz w:val="18"/>
          <w:szCs w:val="18"/>
        </w:rPr>
        <w:fldChar w:fldCharType="begin"/>
      </w:r>
      <w:r w:rsidRPr="00141AF0">
        <w:rPr>
          <w:b/>
          <w:noProof/>
          <w:sz w:val="18"/>
          <w:szCs w:val="18"/>
        </w:rPr>
        <w:instrText xml:space="preserve"> SEQ Table \* ARABIC </w:instrText>
      </w:r>
      <w:r w:rsidR="00DA464A" w:rsidRPr="00141AF0">
        <w:rPr>
          <w:b/>
          <w:noProof/>
          <w:sz w:val="18"/>
          <w:szCs w:val="18"/>
        </w:rPr>
        <w:fldChar w:fldCharType="separate"/>
      </w:r>
      <w:r w:rsidRPr="00141AF0">
        <w:rPr>
          <w:b/>
          <w:noProof/>
          <w:sz w:val="18"/>
          <w:szCs w:val="18"/>
        </w:rPr>
        <w:t>1</w:t>
      </w:r>
      <w:r w:rsidR="00DA464A" w:rsidRPr="00141AF0">
        <w:rPr>
          <w:b/>
          <w:noProof/>
          <w:sz w:val="18"/>
          <w:szCs w:val="18"/>
        </w:rPr>
        <w:fldChar w:fldCharType="end"/>
      </w:r>
      <w:r w:rsidRPr="00141AF0">
        <w:rPr>
          <w:b/>
          <w:noProof/>
          <w:sz w:val="18"/>
          <w:szCs w:val="18"/>
        </w:rPr>
        <w:t>.</w:t>
      </w:r>
      <w:r w:rsidRPr="00141AF0">
        <w:rPr>
          <w:b/>
          <w:sz w:val="18"/>
          <w:szCs w:val="18"/>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2"/>
        <w:gridCol w:w="1841"/>
        <w:gridCol w:w="1889"/>
      </w:tblGrid>
      <w:tr w:rsidR="00141AF0" w:rsidRPr="00141AF0" w:rsidTr="00D10D15">
        <w:trPr>
          <w:jc w:val="center"/>
        </w:trPr>
        <w:tc>
          <w:tcPr>
            <w:tcW w:w="0" w:type="auto"/>
            <w:shd w:val="clear" w:color="auto" w:fill="auto"/>
          </w:tcPr>
          <w:p w:rsidR="00141AF0" w:rsidRPr="00141AF0" w:rsidRDefault="00141AF0" w:rsidP="00141AF0">
            <w:pPr>
              <w:spacing w:beforeLines="0" w:afterLines="0" w:line="240" w:lineRule="auto"/>
              <w:rPr>
                <w:sz w:val="18"/>
                <w:szCs w:val="18"/>
              </w:rPr>
            </w:pPr>
            <w:r w:rsidRPr="00141AF0">
              <w:rPr>
                <w:sz w:val="18"/>
                <w:szCs w:val="18"/>
              </w:rPr>
              <w:t>SCS [kHz]</w:t>
            </w:r>
          </w:p>
        </w:tc>
        <w:tc>
          <w:tcPr>
            <w:tcW w:w="0" w:type="auto"/>
            <w:shd w:val="clear" w:color="auto" w:fill="auto"/>
          </w:tcPr>
          <w:p w:rsidR="00141AF0" w:rsidRPr="00141AF0" w:rsidRDefault="00141AF0" w:rsidP="00141AF0">
            <w:pPr>
              <w:spacing w:beforeLines="0" w:afterLines="0" w:line="240" w:lineRule="auto"/>
              <w:rPr>
                <w:sz w:val="18"/>
                <w:szCs w:val="18"/>
              </w:rPr>
            </w:pPr>
            <w:r w:rsidRPr="00141AF0">
              <w:rPr>
                <w:sz w:val="18"/>
                <w:szCs w:val="18"/>
              </w:rPr>
              <w:t>Max T_delta [Tc]</w:t>
            </w:r>
          </w:p>
        </w:tc>
        <w:tc>
          <w:tcPr>
            <w:tcW w:w="0" w:type="auto"/>
            <w:shd w:val="clear" w:color="auto" w:fill="auto"/>
          </w:tcPr>
          <w:p w:rsidR="00141AF0" w:rsidRPr="00141AF0" w:rsidRDefault="00141AF0" w:rsidP="00141AF0">
            <w:pPr>
              <w:spacing w:beforeLines="0" w:afterLines="0" w:line="240" w:lineRule="auto"/>
              <w:rPr>
                <w:sz w:val="18"/>
                <w:szCs w:val="18"/>
              </w:rPr>
            </w:pPr>
            <w:r w:rsidRPr="00141AF0">
              <w:rPr>
                <w:sz w:val="18"/>
                <w:szCs w:val="18"/>
              </w:rPr>
              <w:t>Min T_delta [Tc]</w:t>
            </w:r>
          </w:p>
        </w:tc>
      </w:tr>
      <w:tr w:rsidR="00141AF0" w:rsidRPr="00141AF0" w:rsidTr="00D10D15">
        <w:trPr>
          <w:jc w:val="center"/>
        </w:trPr>
        <w:tc>
          <w:tcPr>
            <w:tcW w:w="0" w:type="auto"/>
            <w:shd w:val="clear" w:color="auto" w:fill="auto"/>
          </w:tcPr>
          <w:p w:rsidR="00141AF0" w:rsidRPr="00141AF0" w:rsidRDefault="00141AF0" w:rsidP="00141AF0">
            <w:pPr>
              <w:spacing w:beforeLines="0" w:afterLines="0" w:line="240" w:lineRule="auto"/>
              <w:rPr>
                <w:sz w:val="18"/>
                <w:szCs w:val="18"/>
              </w:rPr>
            </w:pPr>
            <w:r w:rsidRPr="00141AF0">
              <w:rPr>
                <w:sz w:val="18"/>
                <w:szCs w:val="18"/>
              </w:rPr>
              <w:t>15</w:t>
            </w:r>
          </w:p>
        </w:tc>
        <w:tc>
          <w:tcPr>
            <w:tcW w:w="0" w:type="auto"/>
            <w:shd w:val="clear" w:color="auto" w:fill="auto"/>
            <w:vAlign w:val="bottom"/>
          </w:tcPr>
          <w:p w:rsidR="00141AF0" w:rsidRPr="00141AF0" w:rsidDel="00B37B10" w:rsidRDefault="00141AF0" w:rsidP="00141AF0">
            <w:pPr>
              <w:spacing w:beforeLines="0" w:afterLines="0" w:line="240" w:lineRule="auto"/>
              <w:rPr>
                <w:color w:val="000000"/>
                <w:sz w:val="18"/>
                <w:szCs w:val="18"/>
              </w:rPr>
            </w:pPr>
            <w:r w:rsidRPr="00141AF0">
              <w:rPr>
                <w:color w:val="000000"/>
                <w:sz w:val="18"/>
                <w:szCs w:val="18"/>
              </w:rPr>
              <w:t>-</w:t>
            </w:r>
            <w:r w:rsidRPr="00141AF0">
              <w:rPr>
                <w:sz w:val="18"/>
                <w:szCs w:val="18"/>
                <w:lang w:val="sv-SE"/>
              </w:rPr>
              <w:t xml:space="preserve"> </w:t>
            </w:r>
            <w:r w:rsidRPr="00141AF0">
              <w:rPr>
                <w:b/>
                <w:noProof/>
                <w:position w:val="-10"/>
                <w:sz w:val="18"/>
                <w:szCs w:val="18"/>
              </w:rPr>
              <w:drawing>
                <wp:inline distT="0" distB="0" distL="0" distR="0">
                  <wp:extent cx="497205" cy="19050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141AF0">
              <w:rPr>
                <w:sz w:val="18"/>
                <w:szCs w:val="18"/>
                <w:lang w:val="sv-SE"/>
              </w:rPr>
              <w:t xml:space="preserve">/2 + </w:t>
            </w:r>
            <w:r w:rsidRPr="00141AF0">
              <w:rPr>
                <w:sz w:val="18"/>
                <w:szCs w:val="18"/>
              </w:rPr>
              <w:t>6256</w:t>
            </w:r>
          </w:p>
        </w:tc>
        <w:tc>
          <w:tcPr>
            <w:tcW w:w="0" w:type="auto"/>
            <w:shd w:val="clear" w:color="auto" w:fill="auto"/>
          </w:tcPr>
          <w:p w:rsidR="00141AF0" w:rsidRPr="00141AF0" w:rsidRDefault="00141AF0" w:rsidP="00141AF0">
            <w:pPr>
              <w:spacing w:beforeLines="0" w:afterLines="0" w:line="240" w:lineRule="auto"/>
              <w:rPr>
                <w:sz w:val="18"/>
                <w:szCs w:val="18"/>
              </w:rPr>
            </w:pPr>
            <w:r w:rsidRPr="00141AF0">
              <w:rPr>
                <w:color w:val="000000"/>
                <w:sz w:val="18"/>
                <w:szCs w:val="18"/>
              </w:rPr>
              <w:t>-</w:t>
            </w:r>
            <w:r w:rsidRPr="00141AF0">
              <w:rPr>
                <w:sz w:val="18"/>
                <w:szCs w:val="18"/>
                <w:lang w:val="sv-SE"/>
              </w:rPr>
              <w:t xml:space="preserve"> </w:t>
            </w:r>
            <w:r w:rsidRPr="00141AF0">
              <w:rPr>
                <w:b/>
                <w:noProof/>
                <w:position w:val="-10"/>
                <w:sz w:val="18"/>
                <w:szCs w:val="18"/>
              </w:rPr>
              <w:drawing>
                <wp:inline distT="0" distB="0" distL="0" distR="0">
                  <wp:extent cx="497205" cy="19050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141AF0">
              <w:rPr>
                <w:sz w:val="18"/>
                <w:szCs w:val="18"/>
                <w:lang w:val="sv-SE"/>
              </w:rPr>
              <w:t xml:space="preserve">/2 </w:t>
            </w:r>
            <w:r w:rsidRPr="00141AF0">
              <w:rPr>
                <w:sz w:val="18"/>
                <w:szCs w:val="18"/>
              </w:rPr>
              <w:t>- 70528</w:t>
            </w:r>
          </w:p>
        </w:tc>
      </w:tr>
      <w:tr w:rsidR="00141AF0" w:rsidRPr="00141AF0" w:rsidTr="00D10D15">
        <w:trPr>
          <w:jc w:val="center"/>
        </w:trPr>
        <w:tc>
          <w:tcPr>
            <w:tcW w:w="0" w:type="auto"/>
            <w:shd w:val="clear" w:color="auto" w:fill="auto"/>
          </w:tcPr>
          <w:p w:rsidR="00141AF0" w:rsidRPr="00141AF0" w:rsidRDefault="00141AF0" w:rsidP="00141AF0">
            <w:pPr>
              <w:spacing w:beforeLines="0" w:afterLines="0" w:line="240" w:lineRule="auto"/>
              <w:rPr>
                <w:sz w:val="18"/>
                <w:szCs w:val="18"/>
              </w:rPr>
            </w:pPr>
            <w:r w:rsidRPr="00141AF0">
              <w:rPr>
                <w:sz w:val="18"/>
                <w:szCs w:val="18"/>
              </w:rPr>
              <w:t>30</w:t>
            </w:r>
          </w:p>
        </w:tc>
        <w:tc>
          <w:tcPr>
            <w:tcW w:w="0" w:type="auto"/>
            <w:shd w:val="clear" w:color="auto" w:fill="auto"/>
            <w:vAlign w:val="bottom"/>
          </w:tcPr>
          <w:p w:rsidR="00141AF0" w:rsidRPr="00141AF0" w:rsidDel="00F94ED9" w:rsidRDefault="00141AF0" w:rsidP="00141AF0">
            <w:pPr>
              <w:spacing w:beforeLines="0" w:afterLines="0" w:line="240" w:lineRule="auto"/>
              <w:rPr>
                <w:sz w:val="18"/>
                <w:szCs w:val="18"/>
              </w:rPr>
            </w:pPr>
            <w:r w:rsidRPr="00141AF0">
              <w:rPr>
                <w:color w:val="000000"/>
                <w:sz w:val="18"/>
                <w:szCs w:val="18"/>
              </w:rPr>
              <w:t>-</w:t>
            </w:r>
            <w:r w:rsidRPr="00141AF0">
              <w:rPr>
                <w:sz w:val="18"/>
                <w:szCs w:val="18"/>
                <w:lang w:val="sv-SE"/>
              </w:rPr>
              <w:t xml:space="preserve"> </w:t>
            </w:r>
            <w:r w:rsidRPr="00141AF0">
              <w:rPr>
                <w:b/>
                <w:noProof/>
                <w:position w:val="-10"/>
                <w:sz w:val="18"/>
                <w:szCs w:val="18"/>
              </w:rPr>
              <w:drawing>
                <wp:inline distT="0" distB="0" distL="0" distR="0">
                  <wp:extent cx="497205"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141AF0">
              <w:rPr>
                <w:sz w:val="18"/>
                <w:szCs w:val="18"/>
                <w:lang w:val="sv-SE"/>
              </w:rPr>
              <w:t xml:space="preserve">/2 + </w:t>
            </w:r>
            <w:r w:rsidRPr="00141AF0">
              <w:rPr>
                <w:sz w:val="18"/>
                <w:szCs w:val="18"/>
              </w:rPr>
              <w:t>6128</w:t>
            </w:r>
            <w:r w:rsidRPr="00141AF0" w:rsidDel="0006616E">
              <w:rPr>
                <w:sz w:val="18"/>
                <w:szCs w:val="18"/>
              </w:rPr>
              <w:t xml:space="preserve"> </w:t>
            </w:r>
          </w:p>
        </w:tc>
        <w:tc>
          <w:tcPr>
            <w:tcW w:w="0" w:type="auto"/>
            <w:shd w:val="clear" w:color="auto" w:fill="auto"/>
          </w:tcPr>
          <w:p w:rsidR="00141AF0" w:rsidRPr="00141AF0" w:rsidRDefault="00141AF0" w:rsidP="00141AF0">
            <w:pPr>
              <w:spacing w:beforeLines="0" w:afterLines="0" w:line="240" w:lineRule="auto"/>
              <w:rPr>
                <w:sz w:val="18"/>
                <w:szCs w:val="18"/>
              </w:rPr>
            </w:pPr>
            <w:r w:rsidRPr="00141AF0">
              <w:rPr>
                <w:color w:val="000000"/>
                <w:sz w:val="18"/>
                <w:szCs w:val="18"/>
              </w:rPr>
              <w:t>-</w:t>
            </w:r>
            <w:r w:rsidRPr="00141AF0">
              <w:rPr>
                <w:sz w:val="18"/>
                <w:szCs w:val="18"/>
                <w:lang w:val="sv-SE"/>
              </w:rPr>
              <w:t xml:space="preserve"> </w:t>
            </w:r>
            <w:r w:rsidRPr="00141AF0">
              <w:rPr>
                <w:b/>
                <w:noProof/>
                <w:position w:val="-10"/>
                <w:sz w:val="18"/>
                <w:szCs w:val="18"/>
              </w:rPr>
              <w:drawing>
                <wp:inline distT="0" distB="0" distL="0" distR="0">
                  <wp:extent cx="497205" cy="1905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141AF0">
              <w:rPr>
                <w:sz w:val="18"/>
                <w:szCs w:val="18"/>
                <w:lang w:val="sv-SE"/>
              </w:rPr>
              <w:t xml:space="preserve">/2 </w:t>
            </w:r>
            <w:r w:rsidRPr="00141AF0">
              <w:rPr>
                <w:sz w:val="18"/>
                <w:szCs w:val="18"/>
              </w:rPr>
              <w:t>- 35328</w:t>
            </w:r>
          </w:p>
        </w:tc>
      </w:tr>
      <w:tr w:rsidR="00141AF0" w:rsidRPr="00141AF0" w:rsidTr="00D10D15">
        <w:trPr>
          <w:jc w:val="center"/>
        </w:trPr>
        <w:tc>
          <w:tcPr>
            <w:tcW w:w="0" w:type="auto"/>
            <w:shd w:val="clear" w:color="auto" w:fill="auto"/>
          </w:tcPr>
          <w:p w:rsidR="00141AF0" w:rsidRPr="00141AF0" w:rsidRDefault="00141AF0" w:rsidP="00141AF0">
            <w:pPr>
              <w:spacing w:beforeLines="0" w:afterLines="0" w:line="240" w:lineRule="auto"/>
              <w:rPr>
                <w:sz w:val="18"/>
                <w:szCs w:val="18"/>
              </w:rPr>
            </w:pPr>
            <w:r w:rsidRPr="00141AF0">
              <w:rPr>
                <w:sz w:val="18"/>
                <w:szCs w:val="18"/>
              </w:rPr>
              <w:t>60</w:t>
            </w:r>
          </w:p>
        </w:tc>
        <w:tc>
          <w:tcPr>
            <w:tcW w:w="0" w:type="auto"/>
            <w:shd w:val="clear" w:color="auto" w:fill="auto"/>
            <w:vAlign w:val="bottom"/>
          </w:tcPr>
          <w:p w:rsidR="00141AF0" w:rsidRPr="00141AF0" w:rsidDel="00F94ED9" w:rsidRDefault="00141AF0" w:rsidP="00141AF0">
            <w:pPr>
              <w:spacing w:beforeLines="0" w:afterLines="0" w:line="240" w:lineRule="auto"/>
              <w:rPr>
                <w:sz w:val="18"/>
                <w:szCs w:val="18"/>
              </w:rPr>
            </w:pPr>
            <w:r w:rsidRPr="00141AF0">
              <w:rPr>
                <w:color w:val="000000"/>
                <w:sz w:val="18"/>
                <w:szCs w:val="18"/>
              </w:rPr>
              <w:t>-</w:t>
            </w:r>
            <w:r w:rsidRPr="00141AF0">
              <w:rPr>
                <w:sz w:val="18"/>
                <w:szCs w:val="18"/>
                <w:lang w:val="sv-SE"/>
              </w:rPr>
              <w:t xml:space="preserve"> </w:t>
            </w:r>
            <w:r w:rsidRPr="00141AF0">
              <w:rPr>
                <w:b/>
                <w:noProof/>
                <w:position w:val="-10"/>
                <w:sz w:val="18"/>
                <w:szCs w:val="18"/>
              </w:rPr>
              <w:drawing>
                <wp:inline distT="0" distB="0" distL="0" distR="0">
                  <wp:extent cx="497205"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141AF0">
              <w:rPr>
                <w:sz w:val="18"/>
                <w:szCs w:val="18"/>
                <w:lang w:val="sv-SE"/>
              </w:rPr>
              <w:t xml:space="preserve">/2 + </w:t>
            </w:r>
            <w:r w:rsidRPr="00141AF0">
              <w:rPr>
                <w:sz w:val="18"/>
                <w:szCs w:val="18"/>
              </w:rPr>
              <w:t>6032</w:t>
            </w:r>
          </w:p>
        </w:tc>
        <w:tc>
          <w:tcPr>
            <w:tcW w:w="0" w:type="auto"/>
            <w:shd w:val="clear" w:color="auto" w:fill="auto"/>
          </w:tcPr>
          <w:p w:rsidR="00141AF0" w:rsidRPr="00141AF0" w:rsidRDefault="00141AF0" w:rsidP="00141AF0">
            <w:pPr>
              <w:spacing w:beforeLines="0" w:afterLines="0" w:line="240" w:lineRule="auto"/>
              <w:rPr>
                <w:sz w:val="18"/>
                <w:szCs w:val="18"/>
              </w:rPr>
            </w:pPr>
            <w:r w:rsidRPr="00141AF0">
              <w:rPr>
                <w:color w:val="000000"/>
                <w:sz w:val="18"/>
                <w:szCs w:val="18"/>
              </w:rPr>
              <w:t>-</w:t>
            </w:r>
            <w:r w:rsidRPr="00141AF0">
              <w:rPr>
                <w:sz w:val="18"/>
                <w:szCs w:val="18"/>
                <w:lang w:val="sv-SE"/>
              </w:rPr>
              <w:t xml:space="preserve"> </w:t>
            </w:r>
            <w:r w:rsidRPr="00141AF0">
              <w:rPr>
                <w:b/>
                <w:noProof/>
                <w:position w:val="-10"/>
                <w:sz w:val="18"/>
                <w:szCs w:val="18"/>
              </w:rPr>
              <w:drawing>
                <wp:inline distT="0" distB="0" distL="0" distR="0">
                  <wp:extent cx="497205" cy="1905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141AF0">
              <w:rPr>
                <w:sz w:val="18"/>
                <w:szCs w:val="18"/>
                <w:lang w:val="sv-SE"/>
              </w:rPr>
              <w:t xml:space="preserve">/2 </w:t>
            </w:r>
            <w:r w:rsidRPr="00141AF0">
              <w:rPr>
                <w:sz w:val="18"/>
                <w:szCs w:val="18"/>
              </w:rPr>
              <w:t>- 17664</w:t>
            </w:r>
          </w:p>
        </w:tc>
      </w:tr>
      <w:tr w:rsidR="00141AF0" w:rsidRPr="00141AF0" w:rsidTr="00D10D15">
        <w:trPr>
          <w:jc w:val="center"/>
        </w:trPr>
        <w:tc>
          <w:tcPr>
            <w:tcW w:w="0" w:type="auto"/>
            <w:shd w:val="clear" w:color="auto" w:fill="auto"/>
          </w:tcPr>
          <w:p w:rsidR="00141AF0" w:rsidRPr="00141AF0" w:rsidRDefault="00141AF0" w:rsidP="00141AF0">
            <w:pPr>
              <w:spacing w:beforeLines="0" w:afterLines="0" w:line="240" w:lineRule="auto"/>
              <w:rPr>
                <w:sz w:val="18"/>
                <w:szCs w:val="18"/>
              </w:rPr>
            </w:pPr>
            <w:r w:rsidRPr="00141AF0">
              <w:rPr>
                <w:sz w:val="18"/>
                <w:szCs w:val="18"/>
              </w:rPr>
              <w:t>120</w:t>
            </w:r>
          </w:p>
        </w:tc>
        <w:tc>
          <w:tcPr>
            <w:tcW w:w="0" w:type="auto"/>
            <w:shd w:val="clear" w:color="auto" w:fill="auto"/>
            <w:vAlign w:val="bottom"/>
          </w:tcPr>
          <w:p w:rsidR="00141AF0" w:rsidRPr="00141AF0" w:rsidDel="00F94ED9" w:rsidRDefault="00141AF0" w:rsidP="00141AF0">
            <w:pPr>
              <w:spacing w:beforeLines="0" w:afterLines="0" w:line="240" w:lineRule="auto"/>
              <w:rPr>
                <w:sz w:val="18"/>
                <w:szCs w:val="18"/>
              </w:rPr>
            </w:pPr>
            <w:r w:rsidRPr="00141AF0">
              <w:rPr>
                <w:color w:val="000000"/>
                <w:sz w:val="18"/>
                <w:szCs w:val="18"/>
              </w:rPr>
              <w:t>-</w:t>
            </w:r>
            <w:r w:rsidRPr="00141AF0">
              <w:rPr>
                <w:sz w:val="18"/>
                <w:szCs w:val="18"/>
                <w:lang w:val="sv-SE"/>
              </w:rPr>
              <w:t xml:space="preserve"> </w:t>
            </w:r>
            <w:r w:rsidRPr="00141AF0">
              <w:rPr>
                <w:b/>
                <w:noProof/>
                <w:position w:val="-10"/>
                <w:sz w:val="18"/>
                <w:szCs w:val="18"/>
              </w:rPr>
              <w:drawing>
                <wp:inline distT="0" distB="0" distL="0" distR="0">
                  <wp:extent cx="497205" cy="19050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141AF0">
              <w:rPr>
                <w:sz w:val="18"/>
                <w:szCs w:val="18"/>
                <w:lang w:val="sv-SE"/>
              </w:rPr>
              <w:t xml:space="preserve">/2 + </w:t>
            </w:r>
            <w:r w:rsidRPr="00141AF0">
              <w:rPr>
                <w:sz w:val="18"/>
                <w:szCs w:val="18"/>
              </w:rPr>
              <w:t>6032</w:t>
            </w:r>
          </w:p>
        </w:tc>
        <w:tc>
          <w:tcPr>
            <w:tcW w:w="0" w:type="auto"/>
            <w:shd w:val="clear" w:color="auto" w:fill="auto"/>
          </w:tcPr>
          <w:p w:rsidR="00141AF0" w:rsidRPr="00141AF0" w:rsidRDefault="00141AF0" w:rsidP="00141AF0">
            <w:pPr>
              <w:spacing w:beforeLines="0" w:afterLines="0" w:line="240" w:lineRule="auto"/>
              <w:rPr>
                <w:sz w:val="18"/>
                <w:szCs w:val="18"/>
              </w:rPr>
            </w:pPr>
            <w:r w:rsidRPr="00141AF0">
              <w:rPr>
                <w:color w:val="000000"/>
                <w:sz w:val="18"/>
                <w:szCs w:val="18"/>
              </w:rPr>
              <w:t>-</w:t>
            </w:r>
            <w:r w:rsidRPr="00141AF0">
              <w:rPr>
                <w:sz w:val="18"/>
                <w:szCs w:val="18"/>
                <w:lang w:val="sv-SE"/>
              </w:rPr>
              <w:t xml:space="preserve"> </w:t>
            </w:r>
            <w:r w:rsidRPr="00141AF0">
              <w:rPr>
                <w:b/>
                <w:noProof/>
                <w:position w:val="-10"/>
                <w:sz w:val="18"/>
                <w:szCs w:val="18"/>
              </w:rPr>
              <w:drawing>
                <wp:inline distT="0" distB="0" distL="0" distR="0">
                  <wp:extent cx="497205" cy="19050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141AF0">
              <w:rPr>
                <w:sz w:val="18"/>
                <w:szCs w:val="18"/>
                <w:lang w:val="sv-SE"/>
              </w:rPr>
              <w:t xml:space="preserve">/2 </w:t>
            </w:r>
            <w:r w:rsidRPr="00141AF0">
              <w:rPr>
                <w:sz w:val="18"/>
                <w:szCs w:val="18"/>
              </w:rPr>
              <w:t>- 8816</w:t>
            </w:r>
          </w:p>
        </w:tc>
      </w:tr>
    </w:tbl>
    <w:p w:rsidR="0016431C" w:rsidRPr="00EB79A4" w:rsidRDefault="0016431C" w:rsidP="0016431C">
      <w:pPr>
        <w:spacing w:before="120" w:after="120"/>
        <w:rPr>
          <w:sz w:val="20"/>
        </w:rPr>
      </w:pPr>
      <w:r w:rsidRPr="00EB79A4">
        <w:rPr>
          <w:sz w:val="20"/>
        </w:rPr>
        <w:t xml:space="preserve">RAN2 </w:t>
      </w:r>
      <w:r w:rsidR="00141AF0">
        <w:rPr>
          <w:sz w:val="20"/>
        </w:rPr>
        <w:t xml:space="preserve">further </w:t>
      </w:r>
      <w:r w:rsidR="00156CC7">
        <w:rPr>
          <w:sz w:val="20"/>
        </w:rPr>
        <w:t>informed RAN1 of following LS request</w:t>
      </w:r>
      <w:r w:rsidRPr="00EB79A4">
        <w:rPr>
          <w:sz w:val="20"/>
        </w:rPr>
        <w:t xml:space="preserve"> </w:t>
      </w:r>
      <w:r w:rsidR="00DA464A">
        <w:rPr>
          <w:sz w:val="20"/>
        </w:rPr>
        <w:fldChar w:fldCharType="begin"/>
      </w:r>
      <w:r w:rsidR="009C00F3">
        <w:rPr>
          <w:sz w:val="20"/>
        </w:rPr>
        <w:instrText xml:space="preserve"> REF _Ref34952172 \r \h </w:instrText>
      </w:r>
      <w:r w:rsidR="00DA464A">
        <w:rPr>
          <w:sz w:val="20"/>
        </w:rPr>
      </w:r>
      <w:r w:rsidR="00DA464A">
        <w:rPr>
          <w:sz w:val="20"/>
        </w:rPr>
        <w:fldChar w:fldCharType="separate"/>
      </w:r>
      <w:r w:rsidR="009C00F3">
        <w:rPr>
          <w:sz w:val="20"/>
        </w:rPr>
        <w:t>[3]</w:t>
      </w:r>
      <w:r w:rsidR="00DA464A">
        <w:rPr>
          <w:sz w:val="20"/>
        </w:rPr>
        <w:fldChar w:fldCharType="end"/>
      </w:r>
      <w:r w:rsidRPr="00EB79A4">
        <w:rPr>
          <w:sz w:val="20"/>
        </w:rPr>
        <w:t xml:space="preserve">: </w:t>
      </w:r>
    </w:p>
    <w:p w:rsidR="0016431C" w:rsidRPr="00EB79A4" w:rsidRDefault="0016431C" w:rsidP="009C00F3">
      <w:pPr>
        <w:pStyle w:val="Header"/>
        <w:spacing w:before="120" w:after="120"/>
        <w:rPr>
          <w:b/>
          <w:i/>
          <w:sz w:val="20"/>
        </w:rPr>
      </w:pPr>
      <w:r w:rsidRPr="00EB79A4">
        <w:rPr>
          <w:i/>
          <w:sz w:val="20"/>
        </w:rPr>
        <w:t>RAN2 confirmed that the T_delta MAC CE shall not contain SCS. Additionally, RAN2 discussed where (in RAN1 or RAN2 specifications) the mapping between the T_delta index and the actual value of T_delta should be captured. In light of this discussion, RAN2 has the following two items for RAN1’s attention and action:</w:t>
      </w:r>
    </w:p>
    <w:p w:rsidR="0016431C" w:rsidRPr="00EB79A4" w:rsidRDefault="0016431C" w:rsidP="0016431C">
      <w:pPr>
        <w:pStyle w:val="Header"/>
        <w:numPr>
          <w:ilvl w:val="0"/>
          <w:numId w:val="10"/>
        </w:numPr>
        <w:tabs>
          <w:tab w:val="clear" w:pos="4680"/>
          <w:tab w:val="clear" w:pos="9360"/>
        </w:tabs>
        <w:spacing w:beforeLines="0" w:afterLines="0"/>
        <w:ind w:left="360" w:hanging="180"/>
        <w:rPr>
          <w:b/>
          <w:i/>
          <w:sz w:val="20"/>
        </w:rPr>
      </w:pPr>
      <w:r w:rsidRPr="00EB79A4">
        <w:rPr>
          <w:i/>
          <w:sz w:val="20"/>
        </w:rPr>
        <w:t>RAN2 would like to inform RAN1 of its preference to have this mapping captured in RAN1 specifications, and would like to respectfully ask RAN1 to take appropriate action (or notify RAN2 as a matter of priority if this RAN2 preference cannot be met by RAN1).</w:t>
      </w:r>
    </w:p>
    <w:p w:rsidR="0016431C" w:rsidRPr="00EB79A4" w:rsidRDefault="0016431C" w:rsidP="0016431C">
      <w:pPr>
        <w:pStyle w:val="Header"/>
        <w:numPr>
          <w:ilvl w:val="0"/>
          <w:numId w:val="10"/>
        </w:numPr>
        <w:tabs>
          <w:tab w:val="clear" w:pos="4680"/>
          <w:tab w:val="clear" w:pos="9360"/>
        </w:tabs>
        <w:spacing w:beforeLines="0" w:afterLines="0"/>
        <w:ind w:left="360" w:hanging="180"/>
        <w:rPr>
          <w:b/>
          <w:i/>
          <w:sz w:val="20"/>
        </w:rPr>
      </w:pPr>
      <w:r w:rsidRPr="00EB79A4">
        <w:rPr>
          <w:i/>
          <w:sz w:val="20"/>
        </w:rPr>
        <w:t>As already mentioned, the size of the T_delta field (containing the index value of T_delta) is 11 bits. If RAN1 finds this inadequate, RAN2 would very much appreciate it if RAN1 could inform RAN2 at their earliest convenience and provide the number of bits required (if different from 11).</w:t>
      </w:r>
    </w:p>
    <w:p w:rsidR="0016431C" w:rsidRPr="00EB79A4" w:rsidRDefault="0016431C" w:rsidP="0016431C">
      <w:pPr>
        <w:pStyle w:val="ListParagraph"/>
        <w:spacing w:before="120" w:after="120"/>
        <w:ind w:left="0"/>
        <w:rPr>
          <w:sz w:val="20"/>
          <w:szCs w:val="20"/>
        </w:rPr>
      </w:pPr>
      <w:r w:rsidRPr="00EB79A4">
        <w:rPr>
          <w:sz w:val="20"/>
          <w:szCs w:val="20"/>
        </w:rPr>
        <w:t>This contribution discusses the RAN1 design aspects for</w:t>
      </w:r>
      <w:r w:rsidR="005B6D26">
        <w:rPr>
          <w:sz w:val="20"/>
          <w:szCs w:val="20"/>
        </w:rPr>
        <w:t xml:space="preserve"> the quantization mapping of T_d</w:t>
      </w:r>
      <w:r w:rsidRPr="00EB79A4">
        <w:rPr>
          <w:sz w:val="20"/>
          <w:szCs w:val="20"/>
        </w:rPr>
        <w:t xml:space="preserve">elta.  </w:t>
      </w:r>
    </w:p>
    <w:p w:rsidR="005B6D26" w:rsidRDefault="006E7AD8">
      <w:pPr>
        <w:spacing w:before="120" w:after="120"/>
        <w:rPr>
          <w:sz w:val="20"/>
        </w:rPr>
      </w:pPr>
      <w:r>
        <w:rPr>
          <w:sz w:val="20"/>
        </w:rPr>
        <w:t>Another remaining issue in case-1 timing is the autonomous N</w:t>
      </w:r>
      <w:r w:rsidRPr="006E7AD8">
        <w:rPr>
          <w:sz w:val="20"/>
          <w:vertAlign w:val="subscript"/>
        </w:rPr>
        <w:t>TA</w:t>
      </w:r>
      <w:r w:rsidR="007712AD">
        <w:rPr>
          <w:sz w:val="20"/>
        </w:rPr>
        <w:t xml:space="preserve"> rounding, which was inherited from Rel-15 </w:t>
      </w:r>
      <w:r w:rsidR="00892F00">
        <w:rPr>
          <w:sz w:val="20"/>
        </w:rPr>
        <w:t>UE behavior that is</w:t>
      </w:r>
      <w:r w:rsidR="007712AD">
        <w:rPr>
          <w:sz w:val="20"/>
        </w:rPr>
        <w:t xml:space="preserve"> applicable on an active UL BWP with lower SCS in a TAG</w:t>
      </w:r>
      <w:r w:rsidR="00892F00">
        <w:rPr>
          <w:sz w:val="20"/>
        </w:rPr>
        <w:t>. This autonomous N</w:t>
      </w:r>
      <w:r w:rsidR="00892F00" w:rsidRPr="00892F00">
        <w:rPr>
          <w:sz w:val="20"/>
          <w:vertAlign w:val="subscript"/>
        </w:rPr>
        <w:t>TA</w:t>
      </w:r>
      <w:r w:rsidR="00892F00">
        <w:rPr>
          <w:sz w:val="20"/>
        </w:rPr>
        <w:t xml:space="preserve"> rounding </w:t>
      </w:r>
      <w:r w:rsidR="00BE68CB">
        <w:rPr>
          <w:sz w:val="20"/>
        </w:rPr>
        <w:t>is not controllable by parent node to match appropriate T_delta measurement and therefore may result in timing error in (N</w:t>
      </w:r>
      <w:r w:rsidR="00BE68CB" w:rsidRPr="00BE68CB">
        <w:rPr>
          <w:sz w:val="20"/>
          <w:vertAlign w:val="subscript"/>
        </w:rPr>
        <w:t>TA</w:t>
      </w:r>
      <w:r w:rsidR="00BE68CB">
        <w:rPr>
          <w:sz w:val="20"/>
        </w:rPr>
        <w:t xml:space="preserve">+T_delta)/2. This issue is also discussed in this contribution.  </w:t>
      </w:r>
      <w:r w:rsidR="007712AD">
        <w:rPr>
          <w:sz w:val="20"/>
        </w:rPr>
        <w:t xml:space="preserve"> </w:t>
      </w:r>
    </w:p>
    <w:p w:rsidR="00D5069D" w:rsidRDefault="006B05DC">
      <w:pPr>
        <w:pStyle w:val="Heading1"/>
        <w:spacing w:before="120" w:after="120"/>
        <w:ind w:left="0"/>
      </w:pPr>
      <w:r>
        <w:rPr>
          <w:rFonts w:hint="eastAsia"/>
        </w:rPr>
        <w:t>Discussion</w:t>
      </w:r>
      <w:r>
        <w:t>s</w:t>
      </w:r>
      <w:r>
        <w:rPr>
          <w:rFonts w:hint="eastAsia"/>
        </w:rPr>
        <w:t xml:space="preserve"> </w:t>
      </w:r>
    </w:p>
    <w:p w:rsidR="00514448" w:rsidRDefault="006F0DF8">
      <w:pPr>
        <w:pStyle w:val="Heading2"/>
        <w:spacing w:before="120" w:after="120"/>
        <w:ind w:left="991" w:right="210" w:hangingChars="354" w:hanging="991"/>
        <w:rPr>
          <w:rFonts w:eastAsia="SimSun"/>
        </w:rPr>
      </w:pPr>
      <w:r>
        <w:rPr>
          <w:rFonts w:eastAsia="SimSun"/>
        </w:rPr>
        <w:t>T_delta quantization within Timing Delta MAC-CE</w:t>
      </w:r>
    </w:p>
    <w:p w:rsidR="00D37065" w:rsidRDefault="002919A6" w:rsidP="00514448">
      <w:pPr>
        <w:spacing w:before="120" w:after="120"/>
      </w:pPr>
      <w:r>
        <w:t>According to</w:t>
      </w:r>
      <w:r w:rsidR="008312EC">
        <w:t xml:space="preserve"> RAN4 conclusion, </w:t>
      </w:r>
      <w:r>
        <w:t>the T_delta value range is dependent on SCS</w:t>
      </w:r>
      <w:r w:rsidR="00D37065">
        <w:t>: the higher the SCS, the smaller the T_delta value range</w:t>
      </w:r>
      <w:r>
        <w:t xml:space="preserve">. </w:t>
      </w:r>
      <w:r w:rsidR="00D37065">
        <w:t xml:space="preserve">In order to determine whether the T_delta value range of lower SCS can be used per </w:t>
      </w:r>
      <w:r w:rsidR="00D37065">
        <w:lastRenderedPageBreak/>
        <w:t>signaling wise for the T_delta indication, where T_delta is measured upon signal with higher SCS, t</w:t>
      </w:r>
      <w:r w:rsidR="009E4DD2">
        <w:t>he following considerations should be taken into account in RAN1 discussion:</w:t>
      </w:r>
    </w:p>
    <w:p w:rsidR="00154218" w:rsidRDefault="00154218" w:rsidP="00D37065">
      <w:pPr>
        <w:pStyle w:val="ListParagraph"/>
        <w:numPr>
          <w:ilvl w:val="0"/>
          <w:numId w:val="14"/>
        </w:numPr>
        <w:spacing w:before="120" w:after="120"/>
        <w:rPr>
          <w:sz w:val="20"/>
          <w:szCs w:val="20"/>
        </w:rPr>
      </w:pPr>
      <w:r>
        <w:rPr>
          <w:sz w:val="20"/>
          <w:szCs w:val="20"/>
        </w:rPr>
        <w:t>In case the</w:t>
      </w:r>
      <w:r w:rsidR="00025FD6">
        <w:rPr>
          <w:sz w:val="20"/>
          <w:szCs w:val="20"/>
        </w:rPr>
        <w:t xml:space="preserve"> backhaul UL of IAB node contains both normal UL and SUL, where normal UL and SUL have different SCS and can dynamically switch in between for PUSCH transmission, it would be anyway difficult for the IAB node and the parent node to sync-up on the actually-used SCS to differentiate T_delta value range.    </w:t>
      </w:r>
    </w:p>
    <w:p w:rsidR="002919A6" w:rsidRDefault="00D37065" w:rsidP="00D37065">
      <w:pPr>
        <w:pStyle w:val="ListParagraph"/>
        <w:numPr>
          <w:ilvl w:val="0"/>
          <w:numId w:val="14"/>
        </w:numPr>
        <w:spacing w:before="120" w:after="120"/>
        <w:rPr>
          <w:sz w:val="20"/>
          <w:szCs w:val="20"/>
        </w:rPr>
      </w:pPr>
      <w:r w:rsidRPr="00D37065">
        <w:rPr>
          <w:sz w:val="20"/>
          <w:szCs w:val="20"/>
        </w:rPr>
        <w:t>From RAN1 perspec</w:t>
      </w:r>
      <w:r>
        <w:rPr>
          <w:sz w:val="20"/>
          <w:szCs w:val="20"/>
        </w:rPr>
        <w:t>t</w:t>
      </w:r>
      <w:r w:rsidRPr="00D37065">
        <w:rPr>
          <w:sz w:val="20"/>
          <w:szCs w:val="20"/>
        </w:rPr>
        <w:t xml:space="preserve">ive, </w:t>
      </w:r>
      <w:r>
        <w:rPr>
          <w:sz w:val="20"/>
          <w:szCs w:val="20"/>
        </w:rPr>
        <w:t xml:space="preserve">the algorithm of OTA-based case-1 timing does not impose any requirement on T_delta value range. </w:t>
      </w:r>
    </w:p>
    <w:p w:rsidR="00D37065" w:rsidRDefault="00D37065" w:rsidP="00D37065">
      <w:pPr>
        <w:pStyle w:val="ListParagraph"/>
        <w:numPr>
          <w:ilvl w:val="0"/>
          <w:numId w:val="14"/>
        </w:numPr>
        <w:spacing w:before="120" w:after="120"/>
        <w:rPr>
          <w:sz w:val="20"/>
          <w:szCs w:val="20"/>
        </w:rPr>
      </w:pPr>
      <w:r>
        <w:rPr>
          <w:sz w:val="20"/>
          <w:szCs w:val="20"/>
        </w:rPr>
        <w:t xml:space="preserve">RAN2 confirms </w:t>
      </w:r>
      <w:r w:rsidR="00DA464A">
        <w:rPr>
          <w:sz w:val="20"/>
          <w:szCs w:val="20"/>
        </w:rPr>
        <w:fldChar w:fldCharType="begin"/>
      </w:r>
      <w:r w:rsidR="001D668A">
        <w:rPr>
          <w:sz w:val="20"/>
          <w:szCs w:val="20"/>
        </w:rPr>
        <w:instrText xml:space="preserve"> REF _Ref34952172 \r \h </w:instrText>
      </w:r>
      <w:r w:rsidR="00DA464A">
        <w:rPr>
          <w:sz w:val="20"/>
          <w:szCs w:val="20"/>
        </w:rPr>
      </w:r>
      <w:r w:rsidR="00DA464A">
        <w:rPr>
          <w:sz w:val="20"/>
          <w:szCs w:val="20"/>
        </w:rPr>
        <w:fldChar w:fldCharType="separate"/>
      </w:r>
      <w:r w:rsidR="001D668A">
        <w:rPr>
          <w:sz w:val="20"/>
          <w:szCs w:val="20"/>
        </w:rPr>
        <w:t>[3]</w:t>
      </w:r>
      <w:r w:rsidR="00DA464A">
        <w:rPr>
          <w:sz w:val="20"/>
          <w:szCs w:val="20"/>
        </w:rPr>
        <w:fldChar w:fldCharType="end"/>
      </w:r>
      <w:r w:rsidR="001D668A">
        <w:rPr>
          <w:sz w:val="20"/>
          <w:szCs w:val="20"/>
        </w:rPr>
        <w:t xml:space="preserve"> </w:t>
      </w:r>
      <w:r>
        <w:rPr>
          <w:sz w:val="20"/>
          <w:szCs w:val="20"/>
        </w:rPr>
        <w:t xml:space="preserve">that SCS is not contained in Timing Delta MAC-CE. </w:t>
      </w:r>
    </w:p>
    <w:p w:rsidR="00D37065" w:rsidRPr="00D37065" w:rsidRDefault="00D37065" w:rsidP="00D37065">
      <w:pPr>
        <w:pStyle w:val="ListParagraph"/>
        <w:numPr>
          <w:ilvl w:val="0"/>
          <w:numId w:val="14"/>
        </w:numPr>
        <w:spacing w:before="120" w:after="120"/>
        <w:rPr>
          <w:sz w:val="20"/>
          <w:szCs w:val="20"/>
        </w:rPr>
      </w:pPr>
      <w:r>
        <w:rPr>
          <w:sz w:val="20"/>
          <w:szCs w:val="20"/>
        </w:rPr>
        <w:t xml:space="preserve">The RAN4 LS </w:t>
      </w:r>
      <w:r w:rsidR="00DA464A">
        <w:rPr>
          <w:sz w:val="20"/>
          <w:szCs w:val="20"/>
        </w:rPr>
        <w:fldChar w:fldCharType="begin"/>
      </w:r>
      <w:r w:rsidR="00154218">
        <w:rPr>
          <w:sz w:val="20"/>
          <w:szCs w:val="20"/>
        </w:rPr>
        <w:instrText xml:space="preserve"> REF _Ref35198001 \r \h </w:instrText>
      </w:r>
      <w:r w:rsidR="00DA464A">
        <w:rPr>
          <w:sz w:val="20"/>
          <w:szCs w:val="20"/>
        </w:rPr>
      </w:r>
      <w:r w:rsidR="00DA464A">
        <w:rPr>
          <w:sz w:val="20"/>
          <w:szCs w:val="20"/>
        </w:rPr>
        <w:fldChar w:fldCharType="separate"/>
      </w:r>
      <w:r w:rsidR="00154218">
        <w:rPr>
          <w:sz w:val="20"/>
          <w:szCs w:val="20"/>
        </w:rPr>
        <w:t>[2]</w:t>
      </w:r>
      <w:r w:rsidR="00DA464A">
        <w:rPr>
          <w:sz w:val="20"/>
          <w:szCs w:val="20"/>
        </w:rPr>
        <w:fldChar w:fldCharType="end"/>
      </w:r>
      <w:r w:rsidR="00154218">
        <w:rPr>
          <w:sz w:val="20"/>
          <w:szCs w:val="20"/>
        </w:rPr>
        <w:t>states that, for T_delta value range, “</w:t>
      </w:r>
      <w:r w:rsidR="00154218" w:rsidRPr="00154218">
        <w:rPr>
          <w:i/>
          <w:sz w:val="20"/>
          <w:szCs w:val="20"/>
        </w:rPr>
        <w:t>The detailed signaling design is dependent on RAN2 decision</w:t>
      </w:r>
      <w:r w:rsidR="00154218">
        <w:rPr>
          <w:sz w:val="20"/>
          <w:szCs w:val="20"/>
        </w:rPr>
        <w:t>”</w:t>
      </w:r>
      <w:r w:rsidR="001D668A">
        <w:rPr>
          <w:sz w:val="20"/>
          <w:szCs w:val="20"/>
        </w:rPr>
        <w:t>, i.e., the signaling range can be larger than the RAN4-concluded value range</w:t>
      </w:r>
      <w:r w:rsidR="00154218">
        <w:rPr>
          <w:sz w:val="20"/>
          <w:szCs w:val="20"/>
        </w:rPr>
        <w:t>.</w:t>
      </w:r>
    </w:p>
    <w:p w:rsidR="00741A04" w:rsidRDefault="001D668A" w:rsidP="00514448">
      <w:pPr>
        <w:spacing w:before="120" w:after="120"/>
      </w:pPr>
      <w:r>
        <w:t xml:space="preserve">Based on above considerations, </w:t>
      </w:r>
      <w:r w:rsidR="00741A04">
        <w:t>we have following observation:</w:t>
      </w:r>
    </w:p>
    <w:p w:rsidR="009E4DD2" w:rsidRPr="00741A04" w:rsidRDefault="00741A04" w:rsidP="00514448">
      <w:pPr>
        <w:spacing w:before="120" w:after="120"/>
        <w:rPr>
          <w:b/>
          <w:i/>
        </w:rPr>
      </w:pPr>
      <w:r w:rsidRPr="00741A04">
        <w:rPr>
          <w:b/>
          <w:i/>
        </w:rPr>
        <w:t>Observation 1: T</w:t>
      </w:r>
      <w:r w:rsidR="001D668A" w:rsidRPr="00741A04">
        <w:rPr>
          <w:b/>
          <w:i/>
        </w:rPr>
        <w:t xml:space="preserve">here is no need to introduce SCS-based value range in T_delta quantization mapping and T_delta indication. </w:t>
      </w:r>
    </w:p>
    <w:p w:rsidR="0037712E" w:rsidRDefault="0000680A" w:rsidP="00514448">
      <w:pPr>
        <w:spacing w:before="120" w:after="120"/>
      </w:pPr>
      <w:r>
        <w:t xml:space="preserve">The next issue is whether the T_delta quantization mapping should adopt FR-based granularity. </w:t>
      </w:r>
      <w:r w:rsidR="0037712E">
        <w:t xml:space="preserve">We take the following into consideration. </w:t>
      </w:r>
    </w:p>
    <w:p w:rsidR="00E76DEE" w:rsidRDefault="001C38CC" w:rsidP="00E76DEE">
      <w:pPr>
        <w:pStyle w:val="ListParagraph"/>
        <w:numPr>
          <w:ilvl w:val="0"/>
          <w:numId w:val="15"/>
        </w:numPr>
        <w:spacing w:before="120" w:after="120"/>
        <w:rPr>
          <w:sz w:val="20"/>
          <w:szCs w:val="20"/>
        </w:rPr>
      </w:pPr>
      <w:r w:rsidRPr="0037712E">
        <w:rPr>
          <w:sz w:val="20"/>
          <w:szCs w:val="20"/>
        </w:rPr>
        <w:t xml:space="preserve">Although T_delta granularity may involve timing measurement accuracy requirement/capability in different FR, </w:t>
      </w:r>
      <w:r w:rsidR="0037712E">
        <w:rPr>
          <w:sz w:val="20"/>
          <w:szCs w:val="20"/>
        </w:rPr>
        <w:t xml:space="preserve">the signaling granularity can be different from measurement granularity. Even if the measurement granularity is 64Tc, the signaling granularity can still be 32Tc. In this case, the parent node can use any one of two consecutive quantization steps to represent a measured T_delta. </w:t>
      </w:r>
    </w:p>
    <w:p w:rsidR="00E76DEE" w:rsidRPr="00E76DEE" w:rsidRDefault="00E76DEE" w:rsidP="00E76DEE">
      <w:pPr>
        <w:pStyle w:val="ListParagraph"/>
        <w:numPr>
          <w:ilvl w:val="0"/>
          <w:numId w:val="15"/>
        </w:numPr>
        <w:spacing w:before="120" w:after="120"/>
        <w:rPr>
          <w:sz w:val="20"/>
          <w:szCs w:val="20"/>
        </w:rPr>
      </w:pPr>
      <w:r>
        <w:rPr>
          <w:sz w:val="20"/>
          <w:szCs w:val="20"/>
        </w:rPr>
        <w:t>D</w:t>
      </w:r>
      <w:r w:rsidRPr="00E76DEE">
        <w:rPr>
          <w:sz w:val="20"/>
          <w:szCs w:val="20"/>
        </w:rPr>
        <w:t xml:space="preserve">ifferent T_delta </w:t>
      </w:r>
      <w:r>
        <w:rPr>
          <w:sz w:val="20"/>
          <w:szCs w:val="20"/>
        </w:rPr>
        <w:t xml:space="preserve">granularities do not lead to different principles/procedures to perform case-1 timing. </w:t>
      </w:r>
    </w:p>
    <w:p w:rsidR="00E76DEE" w:rsidRDefault="00E76DEE" w:rsidP="0037712E">
      <w:pPr>
        <w:pStyle w:val="ListParagraph"/>
        <w:numPr>
          <w:ilvl w:val="0"/>
          <w:numId w:val="15"/>
        </w:numPr>
        <w:spacing w:before="120" w:after="120"/>
        <w:rPr>
          <w:sz w:val="20"/>
          <w:szCs w:val="20"/>
        </w:rPr>
      </w:pPr>
      <w:r>
        <w:rPr>
          <w:sz w:val="20"/>
          <w:szCs w:val="20"/>
        </w:rPr>
        <w:t xml:space="preserve">As of </w:t>
      </w:r>
      <w:r w:rsidR="00696AF2">
        <w:rPr>
          <w:sz w:val="20"/>
          <w:szCs w:val="20"/>
        </w:rPr>
        <w:t>current</w:t>
      </w:r>
      <w:r>
        <w:rPr>
          <w:sz w:val="20"/>
          <w:szCs w:val="20"/>
        </w:rPr>
        <w:t xml:space="preserve"> NR Rel-16</w:t>
      </w:r>
      <w:r w:rsidR="00696AF2">
        <w:rPr>
          <w:sz w:val="20"/>
          <w:szCs w:val="20"/>
        </w:rPr>
        <w:t>,</w:t>
      </w:r>
      <w:r w:rsidR="008E2AF8">
        <w:rPr>
          <w:sz w:val="20"/>
          <w:szCs w:val="20"/>
        </w:rPr>
        <w:t xml:space="preserve"> CA and NR-NR DC across FR1 and FR2 are supported. However, there is no SUL band defined in FR2. </w:t>
      </w:r>
      <w:r w:rsidR="00741A04">
        <w:rPr>
          <w:sz w:val="20"/>
          <w:szCs w:val="20"/>
        </w:rPr>
        <w:t xml:space="preserve">This means the uplink associated with a specific serving cell is in either FR1 or FR2, but would not contain carriers from both FR’s.  </w:t>
      </w:r>
      <w:r w:rsidR="00696AF2">
        <w:rPr>
          <w:sz w:val="20"/>
          <w:szCs w:val="20"/>
        </w:rPr>
        <w:t xml:space="preserve"> </w:t>
      </w:r>
      <w:r>
        <w:rPr>
          <w:sz w:val="20"/>
          <w:szCs w:val="20"/>
        </w:rPr>
        <w:t xml:space="preserve"> </w:t>
      </w:r>
    </w:p>
    <w:p w:rsidR="002919A6" w:rsidRPr="003A0B05" w:rsidRDefault="00741A04" w:rsidP="00514448">
      <w:pPr>
        <w:spacing w:before="120" w:after="120"/>
        <w:rPr>
          <w:sz w:val="20"/>
        </w:rPr>
      </w:pPr>
      <w:r w:rsidRPr="003A0B05">
        <w:rPr>
          <w:sz w:val="20"/>
        </w:rPr>
        <w:t xml:space="preserve">Based on above considerations, </w:t>
      </w:r>
      <w:r w:rsidR="0098314E">
        <w:rPr>
          <w:sz w:val="20"/>
        </w:rPr>
        <w:t>any of following three</w:t>
      </w:r>
      <w:r w:rsidRPr="003A0B05">
        <w:rPr>
          <w:sz w:val="20"/>
        </w:rPr>
        <w:t xml:space="preserve"> options is </w:t>
      </w:r>
      <w:r w:rsidR="0098314E">
        <w:rPr>
          <w:sz w:val="20"/>
        </w:rPr>
        <w:t>feasible</w:t>
      </w:r>
      <w:r w:rsidRPr="003A0B05">
        <w:rPr>
          <w:sz w:val="20"/>
        </w:rPr>
        <w:t xml:space="preserve">: </w:t>
      </w:r>
    </w:p>
    <w:p w:rsidR="00AD1043" w:rsidRPr="003A0B05" w:rsidRDefault="00AD1043" w:rsidP="00CD6861">
      <w:pPr>
        <w:pStyle w:val="ListParagraph"/>
        <w:numPr>
          <w:ilvl w:val="0"/>
          <w:numId w:val="16"/>
        </w:numPr>
        <w:spacing w:before="120" w:after="120"/>
        <w:jc w:val="left"/>
        <w:rPr>
          <w:sz w:val="20"/>
          <w:szCs w:val="20"/>
        </w:rPr>
      </w:pPr>
      <w:r>
        <w:rPr>
          <w:sz w:val="20"/>
          <w:szCs w:val="20"/>
        </w:rPr>
        <w:t>Opt</w:t>
      </w:r>
      <w:r w:rsidR="00CD6861">
        <w:rPr>
          <w:sz w:val="20"/>
          <w:szCs w:val="20"/>
        </w:rPr>
        <w:t>ion 1</w:t>
      </w:r>
      <w:r w:rsidRPr="003A0B05">
        <w:rPr>
          <w:sz w:val="20"/>
          <w:szCs w:val="20"/>
        </w:rPr>
        <w:t xml:space="preserve">: T_delta signaling granularity is 32Tc in Rel-16. </w:t>
      </w:r>
    </w:p>
    <w:p w:rsidR="00AD1043" w:rsidRDefault="00CD6861" w:rsidP="00CD6861">
      <w:pPr>
        <w:pStyle w:val="ListParagraph"/>
        <w:numPr>
          <w:ilvl w:val="0"/>
          <w:numId w:val="16"/>
        </w:numPr>
        <w:spacing w:before="120" w:after="120"/>
        <w:jc w:val="left"/>
        <w:rPr>
          <w:sz w:val="20"/>
          <w:szCs w:val="20"/>
        </w:rPr>
      </w:pPr>
      <w:r>
        <w:rPr>
          <w:sz w:val="20"/>
          <w:szCs w:val="20"/>
        </w:rPr>
        <w:t>Option 2</w:t>
      </w:r>
      <w:r w:rsidR="00741A04" w:rsidRPr="003A0B05">
        <w:rPr>
          <w:sz w:val="20"/>
          <w:szCs w:val="20"/>
        </w:rPr>
        <w:t xml:space="preserve">: T_delta signaling granularity is </w:t>
      </w:r>
      <w:r w:rsidR="006162BF" w:rsidRPr="003A0B05">
        <w:rPr>
          <w:sz w:val="20"/>
          <w:szCs w:val="20"/>
        </w:rPr>
        <w:t xml:space="preserve">32Tc if UL (or equivalently </w:t>
      </w:r>
      <w:r w:rsidR="00751E04">
        <w:rPr>
          <w:sz w:val="20"/>
          <w:szCs w:val="20"/>
        </w:rPr>
        <w:t xml:space="preserve">the paired </w:t>
      </w:r>
      <w:r w:rsidR="006162BF" w:rsidRPr="003A0B05">
        <w:rPr>
          <w:sz w:val="20"/>
          <w:szCs w:val="20"/>
        </w:rPr>
        <w:t xml:space="preserve">DL) of the serving cell indicating T_delta falls in FR2, </w:t>
      </w:r>
      <w:r w:rsidR="006162BF" w:rsidRPr="003D495A">
        <w:rPr>
          <w:sz w:val="20"/>
          <w:szCs w:val="20"/>
        </w:rPr>
        <w:t>64</w:t>
      </w:r>
      <w:r w:rsidR="006162BF" w:rsidRPr="003A0B05">
        <w:rPr>
          <w:sz w:val="20"/>
          <w:szCs w:val="20"/>
        </w:rPr>
        <w:t>Tc otherwise</w:t>
      </w:r>
      <w:r w:rsidR="00741A04" w:rsidRPr="003A0B05">
        <w:rPr>
          <w:sz w:val="20"/>
          <w:szCs w:val="20"/>
        </w:rPr>
        <w:t>.</w:t>
      </w:r>
    </w:p>
    <w:p w:rsidR="009C583F" w:rsidRPr="0098314E" w:rsidRDefault="00CD6861" w:rsidP="00CD6861">
      <w:pPr>
        <w:pStyle w:val="ListParagraph"/>
        <w:numPr>
          <w:ilvl w:val="0"/>
          <w:numId w:val="16"/>
        </w:numPr>
        <w:spacing w:before="120" w:after="120"/>
        <w:jc w:val="left"/>
        <w:rPr>
          <w:sz w:val="20"/>
          <w:szCs w:val="20"/>
        </w:rPr>
      </w:pPr>
      <w:r>
        <w:rPr>
          <w:sz w:val="20"/>
          <w:szCs w:val="20"/>
        </w:rPr>
        <w:t>Option 3</w:t>
      </w:r>
      <w:r w:rsidR="00AD1043">
        <w:rPr>
          <w:sz w:val="20"/>
          <w:szCs w:val="20"/>
        </w:rPr>
        <w:t xml:space="preserve">: </w:t>
      </w:r>
      <w:r w:rsidR="0098314E" w:rsidRPr="003A0B05">
        <w:rPr>
          <w:sz w:val="20"/>
          <w:szCs w:val="20"/>
        </w:rPr>
        <w:t>T_delta signaling granularity is 32Tc if</w:t>
      </w:r>
      <w:r w:rsidR="0098314E">
        <w:rPr>
          <w:sz w:val="20"/>
          <w:szCs w:val="20"/>
        </w:rPr>
        <w:t xml:space="preserve"> T_delta to be indicated falls into the value range that RAN4 decided for FR2</w:t>
      </w:r>
      <w:r w:rsidR="0098314E" w:rsidRPr="003A0B05">
        <w:rPr>
          <w:sz w:val="20"/>
          <w:szCs w:val="20"/>
        </w:rPr>
        <w:t>, 64Tc otherwise.</w:t>
      </w:r>
    </w:p>
    <w:p w:rsidR="008312EC" w:rsidRPr="003A0B05" w:rsidRDefault="00711780" w:rsidP="00514448">
      <w:pPr>
        <w:spacing w:before="120" w:after="120"/>
        <w:rPr>
          <w:sz w:val="20"/>
        </w:rPr>
      </w:pPr>
      <w:r w:rsidRPr="003A0B05">
        <w:rPr>
          <w:sz w:val="20"/>
        </w:rPr>
        <w:t xml:space="preserve">Combining the analysis on both T_delta value range and granularity, </w:t>
      </w:r>
      <w:r w:rsidR="008312EC" w:rsidRPr="003A0B05">
        <w:rPr>
          <w:sz w:val="20"/>
        </w:rPr>
        <w:t>the general framework of T_delta quantization can be formulated as following</w:t>
      </w:r>
      <w:r w:rsidR="002A5C43">
        <w:rPr>
          <w:sz w:val="20"/>
        </w:rPr>
        <w:t xml:space="preserve">, with </w:t>
      </w:r>
      <w:r w:rsidR="00AA03EB">
        <w:rPr>
          <w:sz w:val="20"/>
        </w:rPr>
        <w:t>three</w:t>
      </w:r>
      <w:r w:rsidRPr="003A0B05">
        <w:rPr>
          <w:sz w:val="20"/>
        </w:rPr>
        <w:t xml:space="preserve"> options</w:t>
      </w:r>
      <w:r w:rsidR="008312EC" w:rsidRPr="003A0B05">
        <w:rPr>
          <w:sz w:val="20"/>
        </w:rPr>
        <w:t xml:space="preserve">: </w:t>
      </w:r>
    </w:p>
    <w:p w:rsidR="003A0B05" w:rsidRPr="003A0B05" w:rsidRDefault="002E04C0" w:rsidP="00514448">
      <w:pPr>
        <w:spacing w:before="120" w:after="120"/>
        <w:rPr>
          <w:b/>
          <w:i/>
          <w:sz w:val="20"/>
        </w:rPr>
      </w:pPr>
      <w:r w:rsidRPr="003A0B05">
        <w:rPr>
          <w:b/>
          <w:i/>
          <w:sz w:val="20"/>
        </w:rPr>
        <w:t xml:space="preserve">Proposal 1: </w:t>
      </w:r>
      <w:r w:rsidR="004B33EB" w:rsidRPr="003A0B05">
        <w:rPr>
          <w:b/>
          <w:i/>
          <w:sz w:val="20"/>
        </w:rPr>
        <w:t xml:space="preserve">An index value </w:t>
      </w:r>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oMath>
      <w:r w:rsidR="004B33EB" w:rsidRPr="003A0B05">
        <w:rPr>
          <w:b/>
          <w:i/>
          <w:sz w:val="20"/>
        </w:rPr>
        <w:t xml:space="preserve"> in Timing Delta MAC-CE</w:t>
      </w:r>
      <w:r w:rsidR="008312EC" w:rsidRPr="003A0B05">
        <w:rPr>
          <w:b/>
          <w:i/>
          <w:sz w:val="20"/>
        </w:rPr>
        <w:t xml:space="preserve">, </w:t>
      </w:r>
      <w:r w:rsidR="004B33EB" w:rsidRPr="003A0B05">
        <w:rPr>
          <w:b/>
          <w:i/>
          <w:sz w:val="20"/>
        </w:rPr>
        <w:t xml:space="preserve">where </w:t>
      </w:r>
      <m:oMath>
        <m:r>
          <m:rPr>
            <m:sty m:val="bi"/>
          </m:rPr>
          <w:rPr>
            <w:rFonts w:ascii="Cambria Math" w:hAnsi="Cambria Math"/>
            <w:sz w:val="20"/>
          </w:rPr>
          <m:t>0≤</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w:r w:rsidR="00DC3F95" w:rsidRPr="003A0B05">
        <w:rPr>
          <w:b/>
          <w:i/>
          <w:sz w:val="20"/>
        </w:rPr>
        <w:t>, represents</w:t>
      </w:r>
      <w:r w:rsidRPr="003A0B05">
        <w:rPr>
          <w:b/>
          <w:i/>
          <w:sz w:val="20"/>
        </w:rPr>
        <w:t xml:space="preserve"> the</w:t>
      </w:r>
      <w:r w:rsidR="00711780" w:rsidRPr="003A0B05">
        <w:rPr>
          <w:b/>
          <w:i/>
          <w:sz w:val="20"/>
        </w:rPr>
        <w:t xml:space="preserve"> T_delta value x satisfying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∙∆≤x+</m:t>
        </m:r>
        <m:f>
          <m:fPr>
            <m:type m:val="lin"/>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TA,offset</m:t>
                </m:r>
              </m:sub>
            </m:sSub>
          </m:num>
          <m:den>
            <m:r>
              <m:rPr>
                <m:sty m:val="bi"/>
              </m:rPr>
              <w:rPr>
                <w:rFonts w:ascii="Cambria Math" w:hAnsi="Cambria Math"/>
                <w:sz w:val="20"/>
              </w:rPr>
              <m:t>2</m:t>
            </m:r>
          </m:den>
        </m:f>
        <m:r>
          <m:rPr>
            <m:sty m:val="bi"/>
          </m:rPr>
          <w:rPr>
            <w:rFonts w:ascii="Cambria Math" w:hAnsi="Cambria Math"/>
            <w:sz w:val="20"/>
          </w:rPr>
          <m:t>&lt;</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r>
          <m:rPr>
            <m:sty m:val="bi"/>
          </m:rPr>
          <w:rPr>
            <w:rFonts w:ascii="Cambria Math" w:hAnsi="Cambria Math"/>
            <w:sz w:val="20"/>
          </w:rPr>
          <m:t>+</m:t>
        </m:r>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+1</m:t>
            </m:r>
          </m:e>
        </m:d>
        <m:r>
          <m:rPr>
            <m:sty m:val="bi"/>
          </m:rPr>
          <w:rPr>
            <w:rFonts w:ascii="Cambria Math" w:hAnsi="Cambria Math"/>
            <w:sz w:val="20"/>
          </w:rPr>
          <m:t>∙∆</m:t>
        </m:r>
      </m:oMath>
      <w:r w:rsidR="00660A75">
        <w:rPr>
          <w:b/>
          <w:i/>
          <w:sz w:val="20"/>
        </w:rPr>
        <w:t xml:space="preserve"> in unit of Tc</w:t>
      </w:r>
      <w:r w:rsidRPr="003A0B05">
        <w:rPr>
          <w:b/>
          <w:i/>
          <w:sz w:val="20"/>
        </w:rPr>
        <w:t xml:space="preserve">, where </w:t>
      </w:r>
      <m:oMath>
        <m:r>
          <m:rPr>
            <m:sty m:val="bi"/>
          </m:rPr>
          <w:rPr>
            <w:rFonts w:ascii="Cambria Math" w:hAnsi="Cambria Math"/>
            <w:sz w:val="20"/>
          </w:rPr>
          <m:t xml:space="preserve"> </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w:r w:rsidRPr="003A0B05">
        <w:rPr>
          <w:b/>
          <w:i/>
          <w:sz w:val="20"/>
        </w:rPr>
        <w:t>,</w:t>
      </w:r>
      <m:oMath>
        <m:r>
          <m:rPr>
            <m:sty m:val="bi"/>
          </m:rPr>
          <w:rPr>
            <w:rFonts w:ascii="Cambria Math" w:hAnsi="Cambria Math"/>
            <w:sz w:val="20"/>
          </w:rPr>
          <m:t xml:space="preserve"> </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oMath>
      <w:r w:rsidRPr="003A0B05">
        <w:rPr>
          <w:b/>
          <w:i/>
          <w:sz w:val="20"/>
        </w:rPr>
        <w:t xml:space="preserve"> and </w:t>
      </w:r>
      <m:oMath>
        <m:r>
          <m:rPr>
            <m:sty m:val="bi"/>
          </m:rPr>
          <w:rPr>
            <w:rFonts w:ascii="Cambria Math" w:hAnsi="Cambria Math"/>
            <w:sz w:val="20"/>
          </w:rPr>
          <m:t>∆</m:t>
        </m:r>
      </m:oMath>
      <w:r w:rsidRPr="003A0B05">
        <w:rPr>
          <w:b/>
          <w:i/>
          <w:sz w:val="20"/>
        </w:rPr>
        <w:t xml:space="preserve"> are given by the following.</w:t>
      </w:r>
    </w:p>
    <w:p w:rsidR="002E04C0" w:rsidRDefault="003A0B05" w:rsidP="003A0B05">
      <w:pPr>
        <w:pStyle w:val="ListParagraph"/>
        <w:numPr>
          <w:ilvl w:val="0"/>
          <w:numId w:val="17"/>
        </w:numPr>
        <w:spacing w:before="120" w:after="120"/>
        <w:rPr>
          <w:b/>
          <w:i/>
          <w:sz w:val="20"/>
          <w:szCs w:val="20"/>
        </w:rPr>
      </w:pPr>
      <w:r w:rsidRPr="003A0B05">
        <w:rPr>
          <w:b/>
          <w:i/>
          <w:sz w:val="20"/>
          <w:szCs w:val="20"/>
        </w:rPr>
        <w:t>Option 1 (same value range and same granularity for all SCS+FR combinations</w:t>
      </w:r>
      <w:r w:rsidR="00660A75">
        <w:rPr>
          <w:b/>
          <w:i/>
          <w:sz w:val="20"/>
          <w:szCs w:val="20"/>
        </w:rPr>
        <w:t>, requiring 12 bits</w:t>
      </w:r>
      <w:r w:rsidRPr="003A0B05">
        <w:rPr>
          <w:b/>
          <w:i/>
          <w:sz w:val="20"/>
          <w:szCs w:val="20"/>
        </w:rPr>
        <w:t>)</w:t>
      </w:r>
    </w:p>
    <w:p w:rsidR="009F3B0A" w:rsidRPr="00660A75" w:rsidRDefault="00DA464A" w:rsidP="00660A75">
      <w:pPr>
        <w:pStyle w:val="ListParagraph"/>
        <w:spacing w:before="120" w:after="120"/>
        <w:ind w:left="0"/>
        <w:jc w:val="center"/>
        <w:rPr>
          <w:b/>
          <w:i/>
          <w:sz w:val="20"/>
        </w:rPr>
      </w:pPr>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r>
          <m:rPr>
            <m:sty m:val="bi"/>
          </m:rPr>
          <w:rPr>
            <w:rFonts w:ascii="Cambria Math" w:hAnsi="Cambria Math"/>
            <w:sz w:val="20"/>
          </w:rPr>
          <m:t>=2399</m:t>
        </m:r>
      </m:oMath>
      <w:r w:rsidR="00660A75">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r>
          <m:rPr>
            <m:sty m:val="bi"/>
          </m:rPr>
          <w:rPr>
            <w:rFonts w:ascii="Cambria Math" w:hAnsi="Cambria Math"/>
            <w:sz w:val="20"/>
          </w:rPr>
          <m:t>=-70528</m:t>
        </m:r>
      </m:oMath>
      <w:r w:rsidR="00660A75">
        <w:rPr>
          <w:b/>
          <w:sz w:val="20"/>
        </w:rPr>
        <w:t xml:space="preserve">, </w:t>
      </w:r>
      <m:oMath>
        <m:r>
          <m:rPr>
            <m:sty m:val="bi"/>
          </m:rPr>
          <w:rPr>
            <w:rFonts w:ascii="Cambria Math" w:hAnsi="Cambria Math"/>
            <w:sz w:val="20"/>
          </w:rPr>
          <m:t>∆=32</m:t>
        </m:r>
      </m:oMath>
    </w:p>
    <w:p w:rsidR="003A0B05" w:rsidRPr="003A0B05" w:rsidRDefault="002A5C43" w:rsidP="003A0B05">
      <w:pPr>
        <w:pStyle w:val="ListParagraph"/>
        <w:numPr>
          <w:ilvl w:val="0"/>
          <w:numId w:val="17"/>
        </w:numPr>
        <w:spacing w:before="120" w:after="120"/>
        <w:rPr>
          <w:b/>
          <w:i/>
          <w:sz w:val="20"/>
          <w:szCs w:val="20"/>
        </w:rPr>
      </w:pPr>
      <w:r>
        <w:rPr>
          <w:b/>
          <w:i/>
          <w:sz w:val="20"/>
          <w:szCs w:val="20"/>
        </w:rPr>
        <w:t>Option 2</w:t>
      </w:r>
      <w:r w:rsidR="003A0B05" w:rsidRPr="003A0B05">
        <w:rPr>
          <w:b/>
          <w:i/>
          <w:sz w:val="20"/>
          <w:szCs w:val="20"/>
        </w:rPr>
        <w:t xml:space="preserve"> (both value range and granularity depend on FR but not on SCS</w:t>
      </w:r>
      <w:r w:rsidR="0098314E">
        <w:rPr>
          <w:b/>
          <w:i/>
          <w:sz w:val="20"/>
          <w:szCs w:val="20"/>
        </w:rPr>
        <w:t>, requiring 11 bits</w:t>
      </w:r>
      <w:r w:rsidR="003A0B05" w:rsidRPr="003A0B05">
        <w:rPr>
          <w:b/>
          <w:i/>
          <w:sz w:val="20"/>
          <w:szCs w:val="20"/>
        </w:rPr>
        <w:t>)</w:t>
      </w:r>
    </w:p>
    <w:tbl>
      <w:tblPr>
        <w:tblStyle w:val="TableGrid"/>
        <w:tblW w:w="0" w:type="auto"/>
        <w:jc w:val="center"/>
        <w:tblLook w:val="04A0"/>
      </w:tblPr>
      <w:tblGrid>
        <w:gridCol w:w="3322"/>
        <w:gridCol w:w="609"/>
        <w:gridCol w:w="783"/>
        <w:gridCol w:w="416"/>
      </w:tblGrid>
      <w:tr w:rsidR="00751E04" w:rsidRPr="00AD1043" w:rsidTr="00AD1043">
        <w:trPr>
          <w:jc w:val="center"/>
        </w:trPr>
        <w:tc>
          <w:tcPr>
            <w:tcW w:w="0" w:type="auto"/>
            <w:vAlign w:val="center"/>
          </w:tcPr>
          <w:p w:rsidR="00751E04" w:rsidRPr="00AD1043" w:rsidRDefault="00A345DC" w:rsidP="00A345DC">
            <w:pPr>
              <w:spacing w:before="120" w:after="120"/>
              <w:jc w:val="center"/>
              <w:rPr>
                <w:b/>
                <w:i/>
                <w:sz w:val="20"/>
              </w:rPr>
            </w:pPr>
            <w:r w:rsidRPr="00AD1043">
              <w:rPr>
                <w:b/>
                <w:i/>
                <w:sz w:val="20"/>
              </w:rPr>
              <w:t>FR for serving cell indicating T_delta</w:t>
            </w:r>
          </w:p>
        </w:tc>
        <w:tc>
          <w:tcPr>
            <w:tcW w:w="0" w:type="auto"/>
            <w:vAlign w:val="center"/>
          </w:tcPr>
          <w:p w:rsidR="00751E04" w:rsidRPr="00AD1043" w:rsidRDefault="00DA464A" w:rsidP="00A345DC">
            <w:pPr>
              <w:spacing w:before="120" w:after="120"/>
              <w:jc w:val="center"/>
              <w:rPr>
                <w:b/>
                <w:i/>
                <w:sz w:val="20"/>
              </w:rPr>
            </w:pPr>
            <m:oMathPara>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m:oMathPara>
          </w:p>
        </w:tc>
        <w:tc>
          <w:tcPr>
            <w:tcW w:w="0" w:type="auto"/>
            <w:vAlign w:val="center"/>
          </w:tcPr>
          <w:p w:rsidR="00751E04" w:rsidRPr="00AD1043" w:rsidRDefault="00DA464A" w:rsidP="00A345DC">
            <w:pPr>
              <w:spacing w:before="120" w:after="120"/>
              <w:jc w:val="center"/>
              <w:rPr>
                <w:b/>
                <w:i/>
                <w:sz w:val="20"/>
              </w:rPr>
            </w:pPr>
            <m:oMathPara>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oMath>
            </m:oMathPara>
          </w:p>
        </w:tc>
        <w:tc>
          <w:tcPr>
            <w:tcW w:w="0" w:type="auto"/>
            <w:vAlign w:val="center"/>
          </w:tcPr>
          <w:p w:rsidR="00751E04" w:rsidRPr="00AD1043" w:rsidRDefault="00AD1043" w:rsidP="00A345DC">
            <w:pPr>
              <w:spacing w:before="120" w:after="120"/>
              <w:jc w:val="center"/>
              <w:rPr>
                <w:b/>
                <w:i/>
                <w:sz w:val="20"/>
              </w:rPr>
            </w:pPr>
            <m:oMathPara>
              <m:oMath>
                <m:r>
                  <m:rPr>
                    <m:sty m:val="bi"/>
                  </m:rPr>
                  <w:rPr>
                    <w:rFonts w:ascii="Cambria Math" w:hAnsi="Cambria Math"/>
                    <w:sz w:val="20"/>
                  </w:rPr>
                  <m:t>∆</m:t>
                </m:r>
              </m:oMath>
            </m:oMathPara>
          </w:p>
        </w:tc>
      </w:tr>
      <w:tr w:rsidR="00751E04" w:rsidRPr="00AD1043" w:rsidTr="00AD1043">
        <w:trPr>
          <w:jc w:val="center"/>
        </w:trPr>
        <w:tc>
          <w:tcPr>
            <w:tcW w:w="0" w:type="auto"/>
            <w:vAlign w:val="center"/>
          </w:tcPr>
          <w:p w:rsidR="00751E04" w:rsidRPr="00AD1043" w:rsidRDefault="00751E04" w:rsidP="00A345DC">
            <w:pPr>
              <w:spacing w:before="120" w:after="120"/>
              <w:jc w:val="center"/>
              <w:rPr>
                <w:b/>
                <w:i/>
                <w:sz w:val="20"/>
              </w:rPr>
            </w:pPr>
            <w:r w:rsidRPr="00AD1043">
              <w:rPr>
                <w:b/>
                <w:i/>
                <w:sz w:val="20"/>
              </w:rPr>
              <w:t>FR1</w:t>
            </w:r>
          </w:p>
        </w:tc>
        <w:tc>
          <w:tcPr>
            <w:tcW w:w="0" w:type="auto"/>
            <w:vAlign w:val="center"/>
          </w:tcPr>
          <w:p w:rsidR="00751E04" w:rsidRPr="00AD1043" w:rsidRDefault="00751E04" w:rsidP="00A345DC">
            <w:pPr>
              <w:spacing w:before="120" w:after="120"/>
              <w:jc w:val="center"/>
              <w:rPr>
                <w:b/>
                <w:i/>
                <w:sz w:val="20"/>
              </w:rPr>
            </w:pPr>
            <w:r w:rsidRPr="00AD1043">
              <w:rPr>
                <w:b/>
                <w:i/>
                <w:sz w:val="20"/>
              </w:rPr>
              <w:t>1</w:t>
            </w:r>
            <w:r w:rsidR="00F47BCE" w:rsidRPr="00AD1043">
              <w:rPr>
                <w:b/>
                <w:i/>
                <w:sz w:val="20"/>
              </w:rPr>
              <w:t>199</w:t>
            </w:r>
          </w:p>
        </w:tc>
        <w:tc>
          <w:tcPr>
            <w:tcW w:w="0" w:type="auto"/>
            <w:vAlign w:val="center"/>
          </w:tcPr>
          <w:p w:rsidR="00751E04" w:rsidRPr="00AD1043" w:rsidRDefault="00751E04" w:rsidP="00A345DC">
            <w:pPr>
              <w:spacing w:before="120" w:after="120"/>
              <w:jc w:val="center"/>
              <w:rPr>
                <w:b/>
                <w:i/>
                <w:sz w:val="20"/>
              </w:rPr>
            </w:pPr>
            <w:r w:rsidRPr="00AD1043">
              <w:rPr>
                <w:b/>
                <w:i/>
                <w:sz w:val="20"/>
              </w:rPr>
              <w:t>-70528</w:t>
            </w:r>
          </w:p>
        </w:tc>
        <w:tc>
          <w:tcPr>
            <w:tcW w:w="0" w:type="auto"/>
            <w:vAlign w:val="center"/>
          </w:tcPr>
          <w:p w:rsidR="00751E04" w:rsidRPr="00AD1043" w:rsidRDefault="00751E04" w:rsidP="00A345DC">
            <w:pPr>
              <w:spacing w:before="120" w:after="120"/>
              <w:jc w:val="center"/>
              <w:rPr>
                <w:b/>
                <w:i/>
                <w:sz w:val="20"/>
              </w:rPr>
            </w:pPr>
            <w:r w:rsidRPr="00AD1043">
              <w:rPr>
                <w:b/>
                <w:i/>
                <w:sz w:val="20"/>
              </w:rPr>
              <w:t>64</w:t>
            </w:r>
          </w:p>
        </w:tc>
      </w:tr>
      <w:tr w:rsidR="00751E04" w:rsidRPr="00AD1043" w:rsidTr="00AD1043">
        <w:trPr>
          <w:jc w:val="center"/>
        </w:trPr>
        <w:tc>
          <w:tcPr>
            <w:tcW w:w="0" w:type="auto"/>
            <w:vAlign w:val="center"/>
          </w:tcPr>
          <w:p w:rsidR="00751E04" w:rsidRPr="00AD1043" w:rsidRDefault="00751E04" w:rsidP="00A345DC">
            <w:pPr>
              <w:spacing w:before="120" w:after="120"/>
              <w:jc w:val="center"/>
              <w:rPr>
                <w:b/>
                <w:i/>
                <w:sz w:val="20"/>
              </w:rPr>
            </w:pPr>
            <w:r w:rsidRPr="00AD1043">
              <w:rPr>
                <w:b/>
                <w:i/>
                <w:sz w:val="20"/>
              </w:rPr>
              <w:t>FR2</w:t>
            </w:r>
          </w:p>
        </w:tc>
        <w:tc>
          <w:tcPr>
            <w:tcW w:w="0" w:type="auto"/>
            <w:vAlign w:val="center"/>
          </w:tcPr>
          <w:p w:rsidR="00751E04" w:rsidRPr="00AD1043" w:rsidRDefault="00A345DC" w:rsidP="00A345DC">
            <w:pPr>
              <w:spacing w:before="120" w:after="120"/>
              <w:jc w:val="center"/>
              <w:rPr>
                <w:b/>
                <w:i/>
                <w:sz w:val="20"/>
              </w:rPr>
            </w:pPr>
            <w:r w:rsidRPr="00AD1043">
              <w:rPr>
                <w:b/>
                <w:i/>
                <w:sz w:val="20"/>
              </w:rPr>
              <w:t>740</w:t>
            </w:r>
          </w:p>
        </w:tc>
        <w:tc>
          <w:tcPr>
            <w:tcW w:w="0" w:type="auto"/>
            <w:vAlign w:val="center"/>
          </w:tcPr>
          <w:p w:rsidR="00751E04" w:rsidRPr="00AD1043" w:rsidRDefault="00751E04" w:rsidP="00A345DC">
            <w:pPr>
              <w:spacing w:before="120" w:after="120"/>
              <w:jc w:val="center"/>
              <w:rPr>
                <w:b/>
                <w:i/>
                <w:sz w:val="20"/>
              </w:rPr>
            </w:pPr>
            <w:r w:rsidRPr="00AD1043">
              <w:rPr>
                <w:b/>
                <w:i/>
                <w:sz w:val="20"/>
              </w:rPr>
              <w:t>-17664</w:t>
            </w:r>
          </w:p>
        </w:tc>
        <w:tc>
          <w:tcPr>
            <w:tcW w:w="0" w:type="auto"/>
            <w:vAlign w:val="center"/>
          </w:tcPr>
          <w:p w:rsidR="00751E04" w:rsidRPr="00AD1043" w:rsidRDefault="00751E04" w:rsidP="00A345DC">
            <w:pPr>
              <w:spacing w:before="120" w:after="120"/>
              <w:jc w:val="center"/>
              <w:rPr>
                <w:b/>
                <w:i/>
                <w:sz w:val="20"/>
              </w:rPr>
            </w:pPr>
            <w:r w:rsidRPr="00AD1043">
              <w:rPr>
                <w:b/>
                <w:i/>
                <w:sz w:val="20"/>
              </w:rPr>
              <w:t>32</w:t>
            </w:r>
          </w:p>
        </w:tc>
      </w:tr>
    </w:tbl>
    <w:p w:rsidR="0098314E" w:rsidRPr="003A0B05" w:rsidRDefault="0098314E" w:rsidP="0098314E">
      <w:pPr>
        <w:pStyle w:val="ListParagraph"/>
        <w:numPr>
          <w:ilvl w:val="0"/>
          <w:numId w:val="17"/>
        </w:numPr>
        <w:spacing w:before="120" w:after="120"/>
        <w:rPr>
          <w:b/>
          <w:i/>
          <w:sz w:val="20"/>
          <w:szCs w:val="20"/>
        </w:rPr>
      </w:pPr>
      <w:r>
        <w:rPr>
          <w:b/>
          <w:i/>
          <w:sz w:val="20"/>
          <w:szCs w:val="20"/>
        </w:rPr>
        <w:t>Option 3</w:t>
      </w:r>
      <w:r w:rsidRPr="003A0B05">
        <w:rPr>
          <w:b/>
          <w:i/>
          <w:sz w:val="20"/>
          <w:szCs w:val="20"/>
        </w:rPr>
        <w:t xml:space="preserve"> (</w:t>
      </w:r>
      <w:r>
        <w:rPr>
          <w:b/>
          <w:i/>
          <w:sz w:val="20"/>
          <w:szCs w:val="20"/>
        </w:rPr>
        <w:t>granularity depends on value/index range per FR, requiring 11 bits</w:t>
      </w:r>
      <w:r w:rsidRPr="003A0B05">
        <w:rPr>
          <w:b/>
          <w:i/>
          <w:sz w:val="20"/>
          <w:szCs w:val="20"/>
        </w:rPr>
        <w:t>)</w:t>
      </w:r>
    </w:p>
    <w:tbl>
      <w:tblPr>
        <w:tblStyle w:val="TableGrid"/>
        <w:tblW w:w="0" w:type="auto"/>
        <w:jc w:val="center"/>
        <w:tblLook w:val="04A0"/>
      </w:tblPr>
      <w:tblGrid>
        <w:gridCol w:w="3878"/>
        <w:gridCol w:w="2123"/>
        <w:gridCol w:w="616"/>
        <w:gridCol w:w="783"/>
        <w:gridCol w:w="416"/>
      </w:tblGrid>
      <w:tr w:rsidR="002D2E7C" w:rsidRPr="00AD1043" w:rsidTr="002D2E7C">
        <w:trPr>
          <w:jc w:val="center"/>
        </w:trPr>
        <w:tc>
          <w:tcPr>
            <w:tcW w:w="0" w:type="auto"/>
            <w:vAlign w:val="center"/>
          </w:tcPr>
          <w:p w:rsidR="002D2E7C" w:rsidRPr="00AD1043" w:rsidRDefault="002D2E7C" w:rsidP="00934D25">
            <w:pPr>
              <w:spacing w:before="120" w:after="120"/>
              <w:jc w:val="center"/>
              <w:rPr>
                <w:b/>
                <w:i/>
                <w:sz w:val="20"/>
              </w:rPr>
            </w:pPr>
            <w:r>
              <w:rPr>
                <w:b/>
                <w:i/>
                <w:sz w:val="20"/>
              </w:rPr>
              <w:lastRenderedPageBreak/>
              <w:t xml:space="preserve">value range of </w:t>
            </w:r>
            <m:oMath>
              <m:r>
                <m:rPr>
                  <m:sty m:val="bi"/>
                </m:rPr>
                <w:rPr>
                  <w:rFonts w:ascii="Cambria Math" w:hAnsi="Cambria Math"/>
                  <w:sz w:val="20"/>
                </w:rPr>
                <m:t>x+</m:t>
              </m:r>
              <m:f>
                <m:fPr>
                  <m:type m:val="lin"/>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TA,offset</m:t>
                      </m:r>
                    </m:sub>
                  </m:sSub>
                </m:num>
                <m:den>
                  <m:r>
                    <m:rPr>
                      <m:sty m:val="bi"/>
                    </m:rPr>
                    <w:rPr>
                      <w:rFonts w:ascii="Cambria Math" w:hAnsi="Cambria Math"/>
                      <w:sz w:val="20"/>
                    </w:rPr>
                    <m:t>2</m:t>
                  </m:r>
                </m:den>
              </m:f>
            </m:oMath>
          </w:p>
        </w:tc>
        <w:tc>
          <w:tcPr>
            <w:tcW w:w="0" w:type="auto"/>
          </w:tcPr>
          <w:p w:rsidR="002D2E7C" w:rsidRPr="00AD1043" w:rsidRDefault="00DA464A" w:rsidP="00934D25">
            <w:pPr>
              <w:spacing w:before="120" w:after="120"/>
              <w:jc w:val="center"/>
              <w:rPr>
                <w:rFonts w:ascii="Arial" w:hAnsi="Arial" w:cs="Arial"/>
                <w:b/>
                <w:sz w:val="20"/>
              </w:rPr>
            </w:pPr>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oMath>
            <w:r w:rsidR="002D2E7C" w:rsidRPr="002D2E7C">
              <w:rPr>
                <w:b/>
                <w:i/>
                <w:sz w:val="20"/>
              </w:rPr>
              <w:t xml:space="preserve"> range</w:t>
            </w:r>
          </w:p>
        </w:tc>
        <w:tc>
          <w:tcPr>
            <w:tcW w:w="0" w:type="auto"/>
            <w:vAlign w:val="center"/>
          </w:tcPr>
          <w:p w:rsidR="002D2E7C" w:rsidRPr="00AD1043" w:rsidRDefault="00DA464A" w:rsidP="00934D25">
            <w:pPr>
              <w:spacing w:before="120" w:after="120"/>
              <w:jc w:val="center"/>
              <w:rPr>
                <w:b/>
                <w:i/>
                <w:sz w:val="20"/>
              </w:rPr>
            </w:pPr>
            <m:oMathPara>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m:oMathPara>
          </w:p>
        </w:tc>
        <w:tc>
          <w:tcPr>
            <w:tcW w:w="0" w:type="auto"/>
            <w:vAlign w:val="center"/>
          </w:tcPr>
          <w:p w:rsidR="002D2E7C" w:rsidRPr="00AD1043" w:rsidRDefault="00DA464A" w:rsidP="00934D25">
            <w:pPr>
              <w:spacing w:before="120" w:after="120"/>
              <w:jc w:val="center"/>
              <w:rPr>
                <w:b/>
                <w:i/>
                <w:sz w:val="20"/>
              </w:rPr>
            </w:pPr>
            <m:oMathPara>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oMath>
            </m:oMathPara>
          </w:p>
        </w:tc>
        <w:tc>
          <w:tcPr>
            <w:tcW w:w="0" w:type="auto"/>
            <w:vAlign w:val="center"/>
          </w:tcPr>
          <w:p w:rsidR="002D2E7C" w:rsidRPr="00AD1043" w:rsidRDefault="002D2E7C" w:rsidP="00934D25">
            <w:pPr>
              <w:spacing w:before="120" w:after="120"/>
              <w:jc w:val="center"/>
              <w:rPr>
                <w:b/>
                <w:i/>
                <w:sz w:val="20"/>
              </w:rPr>
            </w:pPr>
            <m:oMathPara>
              <m:oMath>
                <m:r>
                  <m:rPr>
                    <m:sty m:val="bi"/>
                  </m:rPr>
                  <w:rPr>
                    <w:rFonts w:ascii="Cambria Math" w:hAnsi="Cambria Math"/>
                    <w:sz w:val="20"/>
                  </w:rPr>
                  <m:t>∆</m:t>
                </m:r>
              </m:oMath>
            </m:oMathPara>
          </w:p>
        </w:tc>
      </w:tr>
      <w:tr w:rsidR="002D2E7C" w:rsidRPr="00AD1043" w:rsidTr="002D2E7C">
        <w:trPr>
          <w:jc w:val="center"/>
        </w:trPr>
        <w:tc>
          <w:tcPr>
            <w:tcW w:w="0" w:type="auto"/>
            <w:vAlign w:val="center"/>
          </w:tcPr>
          <w:p w:rsidR="002D2E7C" w:rsidRPr="002D2E7C" w:rsidRDefault="00C913C6" w:rsidP="002D2E7C">
            <w:pPr>
              <w:spacing w:before="120" w:after="120"/>
              <w:jc w:val="center"/>
              <w:rPr>
                <w:b/>
                <w:i/>
                <w:sz w:val="20"/>
              </w:rPr>
            </w:pPr>
            <w:r>
              <w:rPr>
                <w:b/>
                <w:i/>
                <w:sz w:val="20"/>
              </w:rPr>
              <w:t xml:space="preserve">FR1 range only: </w:t>
            </w:r>
            <w:r w:rsidR="002D2E7C">
              <w:rPr>
                <w:b/>
                <w:i/>
                <w:sz w:val="20"/>
              </w:rPr>
              <w:t>[-70528, -17664]</w:t>
            </w:r>
          </w:p>
        </w:tc>
        <w:tc>
          <w:tcPr>
            <w:tcW w:w="0" w:type="auto"/>
          </w:tcPr>
          <w:p w:rsidR="002D2E7C" w:rsidRDefault="002D2E7C" w:rsidP="002D2E7C">
            <w:pPr>
              <w:spacing w:before="120" w:after="120"/>
              <w:jc w:val="center"/>
              <w:rPr>
                <w:b/>
                <w:i/>
                <w:sz w:val="20"/>
              </w:rPr>
            </w:pPr>
            <m:oMathPara>
              <m:oMath>
                <m:r>
                  <m:rPr>
                    <m:sty m:val="bi"/>
                  </m:rPr>
                  <w:rPr>
                    <w:rFonts w:ascii="Cambria Math" w:hAnsi="Cambria Math"/>
                    <w:sz w:val="20"/>
                  </w:rPr>
                  <m:t>0≤</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≤825</m:t>
                </m:r>
              </m:oMath>
            </m:oMathPara>
          </w:p>
        </w:tc>
        <w:tc>
          <w:tcPr>
            <w:tcW w:w="0" w:type="auto"/>
            <w:vMerge w:val="restart"/>
            <w:vAlign w:val="center"/>
          </w:tcPr>
          <w:p w:rsidR="002D2E7C" w:rsidRPr="00AD1043" w:rsidRDefault="002D2E7C" w:rsidP="00934D25">
            <w:pPr>
              <w:spacing w:before="120" w:after="120"/>
              <w:jc w:val="center"/>
              <w:rPr>
                <w:b/>
                <w:i/>
                <w:sz w:val="20"/>
              </w:rPr>
            </w:pPr>
            <w:r>
              <w:rPr>
                <w:b/>
                <w:i/>
                <w:sz w:val="20"/>
              </w:rPr>
              <w:t>15</w:t>
            </w:r>
            <w:r w:rsidR="00EC1CB3">
              <w:rPr>
                <w:b/>
                <w:i/>
                <w:sz w:val="20"/>
              </w:rPr>
              <w:t>73</w:t>
            </w:r>
          </w:p>
        </w:tc>
        <w:tc>
          <w:tcPr>
            <w:tcW w:w="0" w:type="auto"/>
            <w:vAlign w:val="center"/>
          </w:tcPr>
          <w:p w:rsidR="002D2E7C" w:rsidRPr="00AD1043" w:rsidRDefault="002D2E7C" w:rsidP="00934D25">
            <w:pPr>
              <w:spacing w:before="120" w:after="120"/>
              <w:jc w:val="center"/>
              <w:rPr>
                <w:b/>
                <w:i/>
                <w:sz w:val="20"/>
              </w:rPr>
            </w:pPr>
            <w:r w:rsidRPr="00AD1043">
              <w:rPr>
                <w:b/>
                <w:i/>
                <w:sz w:val="20"/>
              </w:rPr>
              <w:t>-70528</w:t>
            </w:r>
          </w:p>
        </w:tc>
        <w:tc>
          <w:tcPr>
            <w:tcW w:w="0" w:type="auto"/>
            <w:vAlign w:val="center"/>
          </w:tcPr>
          <w:p w:rsidR="002D2E7C" w:rsidRPr="00AD1043" w:rsidRDefault="002D2E7C" w:rsidP="00934D25">
            <w:pPr>
              <w:spacing w:before="120" w:after="120"/>
              <w:jc w:val="center"/>
              <w:rPr>
                <w:b/>
                <w:i/>
                <w:sz w:val="20"/>
              </w:rPr>
            </w:pPr>
            <w:r w:rsidRPr="00AD1043">
              <w:rPr>
                <w:b/>
                <w:i/>
                <w:sz w:val="20"/>
              </w:rPr>
              <w:t>64</w:t>
            </w:r>
          </w:p>
        </w:tc>
      </w:tr>
      <w:tr w:rsidR="002D2E7C" w:rsidRPr="00AD1043" w:rsidTr="002D2E7C">
        <w:trPr>
          <w:jc w:val="center"/>
        </w:trPr>
        <w:tc>
          <w:tcPr>
            <w:tcW w:w="0" w:type="auto"/>
            <w:vAlign w:val="center"/>
          </w:tcPr>
          <w:p w:rsidR="002D2E7C" w:rsidRPr="00AD1043" w:rsidRDefault="00C913C6" w:rsidP="005914F0">
            <w:pPr>
              <w:spacing w:before="120" w:after="120"/>
              <w:jc w:val="center"/>
              <w:rPr>
                <w:b/>
                <w:i/>
                <w:sz w:val="20"/>
              </w:rPr>
            </w:pPr>
            <w:r>
              <w:rPr>
                <w:b/>
                <w:i/>
                <w:sz w:val="20"/>
              </w:rPr>
              <w:t>FR1/FR2 overlapping</w:t>
            </w:r>
            <w:r w:rsidR="00794C3F">
              <w:rPr>
                <w:b/>
                <w:i/>
                <w:sz w:val="20"/>
              </w:rPr>
              <w:t xml:space="preserve"> range</w:t>
            </w:r>
            <w:r>
              <w:rPr>
                <w:b/>
                <w:i/>
                <w:sz w:val="20"/>
              </w:rPr>
              <w:t xml:space="preserve">: </w:t>
            </w:r>
            <w:r w:rsidR="002D2E7C">
              <w:rPr>
                <w:b/>
                <w:i/>
                <w:sz w:val="20"/>
              </w:rPr>
              <w:t>[</w:t>
            </w:r>
            <w:r w:rsidR="00A36A95">
              <w:rPr>
                <w:b/>
                <w:i/>
                <w:sz w:val="20"/>
              </w:rPr>
              <w:t>-</w:t>
            </w:r>
            <w:r w:rsidR="005914F0">
              <w:rPr>
                <w:b/>
                <w:i/>
                <w:sz w:val="20"/>
              </w:rPr>
              <w:t>17664</w:t>
            </w:r>
            <w:r w:rsidR="002D2E7C">
              <w:rPr>
                <w:b/>
                <w:i/>
                <w:sz w:val="20"/>
              </w:rPr>
              <w:t xml:space="preserve">, </w:t>
            </w:r>
            <w:r w:rsidR="005914F0">
              <w:rPr>
                <w:b/>
                <w:i/>
                <w:sz w:val="20"/>
              </w:rPr>
              <w:t>6256</w:t>
            </w:r>
            <w:r w:rsidR="002D2E7C">
              <w:rPr>
                <w:b/>
                <w:i/>
                <w:sz w:val="20"/>
              </w:rPr>
              <w:t>]</w:t>
            </w:r>
          </w:p>
        </w:tc>
        <w:tc>
          <w:tcPr>
            <w:tcW w:w="0" w:type="auto"/>
          </w:tcPr>
          <w:p w:rsidR="002D2E7C" w:rsidRPr="00AD1043" w:rsidRDefault="002D2E7C" w:rsidP="00EC1CB3">
            <w:pPr>
              <w:spacing w:before="120" w:after="120"/>
              <w:jc w:val="center"/>
              <w:rPr>
                <w:b/>
                <w:i/>
                <w:sz w:val="20"/>
              </w:rPr>
            </w:pPr>
            <m:oMathPara>
              <m:oMath>
                <m:r>
                  <m:rPr>
                    <m:sty m:val="bi"/>
                  </m:rPr>
                  <w:rPr>
                    <w:rFonts w:ascii="Cambria Math" w:hAnsi="Cambria Math"/>
                    <w:sz w:val="20"/>
                  </w:rPr>
                  <m:t>826≤</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≤1573</m:t>
                </m:r>
              </m:oMath>
            </m:oMathPara>
          </w:p>
        </w:tc>
        <w:tc>
          <w:tcPr>
            <w:tcW w:w="0" w:type="auto"/>
            <w:vMerge/>
            <w:vAlign w:val="center"/>
          </w:tcPr>
          <w:p w:rsidR="002D2E7C" w:rsidRPr="00AD1043" w:rsidRDefault="002D2E7C" w:rsidP="00934D25">
            <w:pPr>
              <w:spacing w:before="120" w:after="120"/>
              <w:jc w:val="center"/>
              <w:rPr>
                <w:b/>
                <w:i/>
                <w:sz w:val="20"/>
              </w:rPr>
            </w:pPr>
          </w:p>
        </w:tc>
        <w:tc>
          <w:tcPr>
            <w:tcW w:w="0" w:type="auto"/>
            <w:vAlign w:val="center"/>
          </w:tcPr>
          <w:p w:rsidR="002D2E7C" w:rsidRPr="00AD1043" w:rsidRDefault="002D2E7C" w:rsidP="00EC1CB3">
            <w:pPr>
              <w:spacing w:before="120" w:after="120"/>
              <w:jc w:val="center"/>
              <w:rPr>
                <w:b/>
                <w:i/>
                <w:sz w:val="20"/>
              </w:rPr>
            </w:pPr>
            <w:r w:rsidRPr="00AD1043">
              <w:rPr>
                <w:b/>
                <w:i/>
                <w:sz w:val="20"/>
              </w:rPr>
              <w:t>-</w:t>
            </w:r>
            <w:r w:rsidR="00EC1CB3">
              <w:rPr>
                <w:b/>
                <w:i/>
                <w:sz w:val="20"/>
              </w:rPr>
              <w:t>44096</w:t>
            </w:r>
          </w:p>
        </w:tc>
        <w:tc>
          <w:tcPr>
            <w:tcW w:w="0" w:type="auto"/>
            <w:vAlign w:val="center"/>
          </w:tcPr>
          <w:p w:rsidR="002D2E7C" w:rsidRPr="00AD1043" w:rsidRDefault="002D2E7C" w:rsidP="00934D25">
            <w:pPr>
              <w:spacing w:before="120" w:after="120"/>
              <w:jc w:val="center"/>
              <w:rPr>
                <w:b/>
                <w:i/>
                <w:sz w:val="20"/>
              </w:rPr>
            </w:pPr>
            <w:r w:rsidRPr="00AD1043">
              <w:rPr>
                <w:b/>
                <w:i/>
                <w:sz w:val="20"/>
              </w:rPr>
              <w:t>32</w:t>
            </w:r>
          </w:p>
        </w:tc>
      </w:tr>
    </w:tbl>
    <w:p w:rsidR="00B25360" w:rsidRPr="00B25360" w:rsidRDefault="00DA464A" w:rsidP="00B25360">
      <w:pPr>
        <w:spacing w:beforeLines="0" w:afterLines="0"/>
        <w:jc w:val="left"/>
        <w:rPr>
          <w:sz w:val="20"/>
        </w:rPr>
      </w:pPr>
      <w:fldSimple w:instr=" REF _Ref35254336 \h  \* MERGEFORMAT ">
        <w:r w:rsidR="00B25360" w:rsidRPr="00B25360">
          <w:rPr>
            <w:sz w:val="20"/>
          </w:rPr>
          <w:t>Figure 1</w:t>
        </w:r>
      </w:fldSimple>
      <w:r w:rsidR="00B25360" w:rsidRPr="00B25360">
        <w:rPr>
          <w:sz w:val="20"/>
        </w:rPr>
        <w:t xml:space="preserve"> shows the quantization mapping between T_delta index and T_delta value for the three Options in Proposal 1, respectively.</w:t>
      </w:r>
      <w:r w:rsidR="00B25360">
        <w:rPr>
          <w:sz w:val="20"/>
        </w:rPr>
        <w:t xml:space="preserve"> For simplicity purpose, the curves are drawn with straight lines instead of ones with step function. </w:t>
      </w:r>
      <w:r w:rsidR="00B25360" w:rsidRPr="00B25360">
        <w:rPr>
          <w:sz w:val="20"/>
        </w:rPr>
        <w:t xml:space="preserve">  </w:t>
      </w:r>
    </w:p>
    <w:p w:rsidR="00B25360" w:rsidRDefault="004663A0" w:rsidP="00B25360">
      <w:pPr>
        <w:spacing w:before="120" w:afterLines="0"/>
        <w:jc w:val="center"/>
      </w:pPr>
      <w:r>
        <w:rPr>
          <w:noProof/>
        </w:rPr>
        <w:drawing>
          <wp:inline distT="0" distB="0" distL="0" distR="0">
            <wp:extent cx="5872386" cy="2000634"/>
            <wp:effectExtent l="1905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876034" cy="2001877"/>
                    </a:xfrm>
                    <a:prstGeom prst="rect">
                      <a:avLst/>
                    </a:prstGeom>
                    <a:noFill/>
                    <a:ln w="9525">
                      <a:noFill/>
                      <a:miter lim="800000"/>
                      <a:headEnd/>
                      <a:tailEnd/>
                    </a:ln>
                  </pic:spPr>
                </pic:pic>
              </a:graphicData>
            </a:graphic>
          </wp:inline>
        </w:drawing>
      </w:r>
    </w:p>
    <w:p w:rsidR="00B25360" w:rsidRDefault="00B25360" w:rsidP="00B25360">
      <w:pPr>
        <w:pStyle w:val="Caption"/>
        <w:spacing w:beforeLines="0" w:after="120"/>
        <w:jc w:val="center"/>
      </w:pPr>
      <w:bookmarkStart w:id="0" w:name="_Ref35254336"/>
      <w:r>
        <w:t xml:space="preserve">Figure </w:t>
      </w:r>
      <w:r w:rsidR="00DA464A">
        <w:fldChar w:fldCharType="begin"/>
      </w:r>
      <w:r w:rsidR="00B23E66">
        <w:instrText xml:space="preserve"> SEQ Figure \* ARABIC </w:instrText>
      </w:r>
      <w:r w:rsidR="00DA464A">
        <w:fldChar w:fldCharType="separate"/>
      </w:r>
      <w:r>
        <w:rPr>
          <w:noProof/>
        </w:rPr>
        <w:t>1</w:t>
      </w:r>
      <w:r w:rsidR="00DA464A">
        <w:rPr>
          <w:noProof/>
        </w:rPr>
        <w:fldChar w:fldCharType="end"/>
      </w:r>
      <w:bookmarkEnd w:id="0"/>
      <w:r>
        <w:t xml:space="preserve"> T_delta quantization mapping</w:t>
      </w:r>
    </w:p>
    <w:p w:rsidR="003168A5" w:rsidRDefault="003168A5" w:rsidP="00514448">
      <w:pPr>
        <w:spacing w:before="120" w:after="120"/>
        <w:rPr>
          <w:sz w:val="20"/>
        </w:rPr>
      </w:pPr>
      <w:r>
        <w:t xml:space="preserve">The last issue is the parent node behavior in case the measured T_delta does not fall into the range that can be indicated by an </w:t>
      </w:r>
      <w:r w:rsidRPr="003168A5">
        <w:rPr>
          <w:i/>
        </w:rPr>
        <w:t>I</w:t>
      </w:r>
      <w:r w:rsidRPr="003168A5">
        <w:rPr>
          <w:i/>
          <w:vertAlign w:val="subscript"/>
        </w:rPr>
        <w:t>Tdelta</w:t>
      </w:r>
      <w:r>
        <w:t xml:space="preserve"> for </w:t>
      </w:r>
      <m:oMath>
        <m:r>
          <w:rPr>
            <w:rFonts w:ascii="Cambria Math" w:hAnsi="Cambria Math"/>
            <w:sz w:val="20"/>
          </w:rPr>
          <m:t>0≤</m:t>
        </m:r>
        <m:sSub>
          <m:sSubPr>
            <m:ctrlPr>
              <w:rPr>
                <w:rFonts w:ascii="Cambria Math" w:hAnsi="Cambria Math"/>
                <w:i/>
                <w:sz w:val="20"/>
              </w:rPr>
            </m:ctrlPr>
          </m:sSubPr>
          <m:e>
            <m:r>
              <w:rPr>
                <w:rFonts w:ascii="Cambria Math" w:hAnsi="Cambria Math"/>
                <w:sz w:val="20"/>
              </w:rPr>
              <m:t>I</m:t>
            </m:r>
          </m:e>
          <m:sub>
            <m:r>
              <w:rPr>
                <w:rFonts w:ascii="Cambria Math" w:hAnsi="Cambria Math"/>
                <w:sz w:val="20"/>
              </w:rPr>
              <m:t>Tdelta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max</m:t>
            </m:r>
          </m:sub>
        </m:sSub>
      </m:oMath>
      <w:r w:rsidRPr="003168A5">
        <w:rPr>
          <w:sz w:val="20"/>
        </w:rPr>
        <w:t>.</w:t>
      </w:r>
      <w:r>
        <w:rPr>
          <w:b/>
          <w:sz w:val="20"/>
        </w:rPr>
        <w:t xml:space="preserve"> </w:t>
      </w:r>
      <w:r w:rsidRPr="003168A5">
        <w:rPr>
          <w:sz w:val="20"/>
        </w:rPr>
        <w:t>Because th</w:t>
      </w:r>
      <w:r>
        <w:rPr>
          <w:sz w:val="20"/>
        </w:rPr>
        <w:t xml:space="preserve">e specification does not capture parent node behavior in general, it can be assumed the parent node would not indicate T_delta via MAC-CE if measured T_delta exceeds the range corresponding to </w:t>
      </w:r>
      <m:oMath>
        <m:r>
          <w:rPr>
            <w:rFonts w:ascii="Cambria Math" w:hAnsi="Cambria Math"/>
            <w:sz w:val="20"/>
          </w:rPr>
          <m:t>0≤</m:t>
        </m:r>
        <m:sSub>
          <m:sSubPr>
            <m:ctrlPr>
              <w:rPr>
                <w:rFonts w:ascii="Cambria Math" w:hAnsi="Cambria Math"/>
                <w:i/>
                <w:sz w:val="20"/>
              </w:rPr>
            </m:ctrlPr>
          </m:sSubPr>
          <m:e>
            <m:r>
              <w:rPr>
                <w:rFonts w:ascii="Cambria Math" w:hAnsi="Cambria Math"/>
                <w:sz w:val="20"/>
              </w:rPr>
              <m:t>I</m:t>
            </m:r>
          </m:e>
          <m:sub>
            <m:r>
              <w:rPr>
                <w:rFonts w:ascii="Cambria Math" w:hAnsi="Cambria Math"/>
                <w:sz w:val="20"/>
              </w:rPr>
              <m:t>Tdelta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max</m:t>
            </m:r>
          </m:sub>
        </m:sSub>
      </m:oMath>
      <w:r>
        <w:rPr>
          <w:sz w:val="20"/>
        </w:rPr>
        <w:t xml:space="preserve">. </w:t>
      </w:r>
    </w:p>
    <w:p w:rsidR="00514448" w:rsidRPr="003168A5" w:rsidRDefault="003168A5" w:rsidP="00514448">
      <w:pPr>
        <w:spacing w:before="120" w:after="120"/>
        <w:rPr>
          <w:rFonts w:ascii="Arial" w:hAnsi="Arial"/>
          <w:b/>
          <w:i/>
          <w:sz w:val="28"/>
        </w:rPr>
      </w:pPr>
      <w:r w:rsidRPr="003168A5">
        <w:rPr>
          <w:b/>
          <w:i/>
          <w:sz w:val="20"/>
        </w:rPr>
        <w:t xml:space="preserve">Proposal 2: The parent node is not expected to indicated T_delta if the measured T_delta exceeds the range corresponding to </w:t>
      </w:r>
      <m:oMath>
        <m:r>
          <m:rPr>
            <m:sty m:val="bi"/>
          </m:rPr>
          <w:rPr>
            <w:rFonts w:ascii="Cambria Math" w:hAnsi="Cambria Math"/>
            <w:sz w:val="20"/>
          </w:rPr>
          <m:t>0≤</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w:r w:rsidRPr="003168A5">
        <w:rPr>
          <w:b/>
          <w:i/>
          <w:sz w:val="20"/>
        </w:rPr>
        <w:t>. This may not be captured in specification.</w:t>
      </w:r>
    </w:p>
    <w:p w:rsidR="00D5069D" w:rsidRDefault="006F0DF8">
      <w:pPr>
        <w:pStyle w:val="Heading2"/>
        <w:spacing w:before="120" w:after="120"/>
        <w:ind w:left="991" w:right="210" w:hangingChars="354" w:hanging="991"/>
      </w:pPr>
      <w:r>
        <w:rPr>
          <w:rFonts w:eastAsia="SimSun"/>
        </w:rPr>
        <w:t>SCS-based rounding of UL Tx timing</w:t>
      </w:r>
      <w:r w:rsidR="006B05DC">
        <w:rPr>
          <w:rFonts w:hint="eastAsia"/>
        </w:rPr>
        <w:t xml:space="preserve">  </w:t>
      </w:r>
    </w:p>
    <w:p w:rsidR="00B40699" w:rsidRDefault="00B40699">
      <w:pPr>
        <w:spacing w:before="120" w:after="120"/>
        <w:rPr>
          <w:sz w:val="20"/>
        </w:rPr>
      </w:pPr>
      <w:r w:rsidRPr="00B40699">
        <w:rPr>
          <w:sz w:val="20"/>
        </w:rPr>
        <w:t xml:space="preserve">Rel-15 </w:t>
      </w:r>
      <w:r>
        <w:rPr>
          <w:sz w:val="20"/>
        </w:rPr>
        <w:t>has following specification text in TS 38.213 for UL-Tx timing rounding in case there are multiple UL SCS in a TAG for a UE:</w:t>
      </w:r>
    </w:p>
    <w:p w:rsidR="00B40699" w:rsidRPr="00B40699" w:rsidRDefault="00B40699" w:rsidP="00B40699">
      <w:pPr>
        <w:spacing w:before="120" w:after="120"/>
        <w:ind w:left="360"/>
        <w:rPr>
          <w:i/>
          <w:sz w:val="20"/>
        </w:rPr>
      </w:pPr>
      <w:r w:rsidRPr="00B40699">
        <w:rPr>
          <w:i/>
          <w:sz w:val="20"/>
        </w:rPr>
        <w:t xml:space="preserve">If a UE has multiple active UL BWPs, as described in Subclause 12, in a same TAG, including UL BWPs in two UL carriers of a serving cell, the timing advance command value is relative to the largest SCS of the multiple active UL BWPs. The applicable </w:t>
      </w:r>
      <w:r w:rsidRPr="00B40699">
        <w:rPr>
          <w:i/>
          <w:position w:val="-12"/>
          <w:sz w:val="20"/>
        </w:rPr>
        <w:object w:dxaOrig="6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75pt" o:ole="">
            <v:imagedata r:id="rId11" o:title=""/>
          </v:shape>
          <o:OLEObject Type="Embed" ProgID="Equation.3" ShapeID="_x0000_i1025" DrawAspect="Content" ObjectID="_1648026292" r:id="rId12"/>
        </w:object>
      </w:r>
      <w:r w:rsidRPr="00B40699">
        <w:rPr>
          <w:i/>
          <w:sz w:val="20"/>
        </w:rPr>
        <w:t xml:space="preserve"> value for an UL BWP with lower SCS </w:t>
      </w:r>
      <w:r w:rsidRPr="0022212A">
        <w:rPr>
          <w:b/>
          <w:i/>
          <w:sz w:val="20"/>
          <w:u w:val="single"/>
        </w:rPr>
        <w:t>may be rounded</w:t>
      </w:r>
      <w:r w:rsidRPr="00B40699">
        <w:rPr>
          <w:i/>
          <w:sz w:val="20"/>
        </w:rPr>
        <w:t xml:space="preserve"> to align with the timing advance granularity for the UL BWP with the lower SCS while satisfying the timing advance accuracy requirements in [10, TS38.133]. </w:t>
      </w:r>
    </w:p>
    <w:p w:rsidR="00B40699" w:rsidRDefault="00B40699">
      <w:pPr>
        <w:spacing w:before="120" w:after="120"/>
        <w:rPr>
          <w:sz w:val="20"/>
        </w:rPr>
      </w:pPr>
      <w:r>
        <w:rPr>
          <w:sz w:val="20"/>
        </w:rPr>
        <w:t xml:space="preserve">When </w:t>
      </w:r>
      <w:r w:rsidR="0049651A">
        <w:rPr>
          <w:sz w:val="20"/>
        </w:rPr>
        <w:t>IAB node MT behaves as a “UE” to</w:t>
      </w:r>
      <w:r>
        <w:rPr>
          <w:sz w:val="20"/>
        </w:rPr>
        <w:t xml:space="preserve"> follow the Rel-15 UE behavior, the specification text of “</w:t>
      </w:r>
      <w:r w:rsidRPr="00B40699">
        <w:rPr>
          <w:i/>
          <w:sz w:val="20"/>
        </w:rPr>
        <w:t>may be rounded</w:t>
      </w:r>
      <w:r>
        <w:rPr>
          <w:sz w:val="20"/>
        </w:rPr>
        <w:t xml:space="preserve">” can lead </w:t>
      </w:r>
      <w:r w:rsidR="00A36C2A">
        <w:rPr>
          <w:sz w:val="20"/>
        </w:rPr>
        <w:t>to three alternatives if the N</w:t>
      </w:r>
      <w:r w:rsidR="00A36C2A" w:rsidRPr="00A36C2A">
        <w:rPr>
          <w:sz w:val="20"/>
          <w:vertAlign w:val="subscript"/>
        </w:rPr>
        <w:t>TA</w:t>
      </w:r>
      <w:r w:rsidR="00A36C2A">
        <w:rPr>
          <w:sz w:val="20"/>
        </w:rPr>
        <w:t xml:space="preserve"> rounding is applicable to the UL of the serving cell indicating T_delta</w:t>
      </w:r>
      <w:r>
        <w:rPr>
          <w:sz w:val="20"/>
        </w:rPr>
        <w:t xml:space="preserve">: </w:t>
      </w:r>
    </w:p>
    <w:p w:rsidR="00A36C2A" w:rsidRDefault="00B40699" w:rsidP="00B40699">
      <w:pPr>
        <w:pStyle w:val="ListParagraph"/>
        <w:numPr>
          <w:ilvl w:val="0"/>
          <w:numId w:val="12"/>
        </w:numPr>
        <w:spacing w:before="120" w:after="120"/>
        <w:rPr>
          <w:sz w:val="20"/>
        </w:rPr>
      </w:pPr>
      <w:r>
        <w:rPr>
          <w:sz w:val="20"/>
        </w:rPr>
        <w:t xml:space="preserve">Alt-1: The IAB-node MT </w:t>
      </w:r>
      <w:r w:rsidRPr="00A36C2A">
        <w:rPr>
          <w:b/>
          <w:i/>
          <w:sz w:val="20"/>
        </w:rPr>
        <w:t>never</w:t>
      </w:r>
      <w:r>
        <w:rPr>
          <w:sz w:val="20"/>
        </w:rPr>
        <w:t xml:space="preserve"> performs N</w:t>
      </w:r>
      <w:r w:rsidRPr="00B40699">
        <w:rPr>
          <w:sz w:val="20"/>
          <w:vertAlign w:val="subscript"/>
        </w:rPr>
        <w:t>TA</w:t>
      </w:r>
      <w:r>
        <w:rPr>
          <w:sz w:val="20"/>
        </w:rPr>
        <w:t xml:space="preserve"> rounding</w:t>
      </w:r>
      <w:r w:rsidR="00A36C2A">
        <w:rPr>
          <w:sz w:val="20"/>
        </w:rPr>
        <w:t xml:space="preserve"> on the UL of the serving cell indicating T_delta</w:t>
      </w:r>
      <w:r w:rsidR="00137D3B">
        <w:rPr>
          <w:sz w:val="20"/>
        </w:rPr>
        <w:t xml:space="preserve">. </w:t>
      </w:r>
    </w:p>
    <w:p w:rsidR="00A36C2A" w:rsidRDefault="00A36C2A" w:rsidP="00B40699">
      <w:pPr>
        <w:pStyle w:val="ListParagraph"/>
        <w:numPr>
          <w:ilvl w:val="0"/>
          <w:numId w:val="12"/>
        </w:numPr>
        <w:spacing w:before="120" w:after="120"/>
        <w:rPr>
          <w:sz w:val="20"/>
        </w:rPr>
      </w:pPr>
      <w:r>
        <w:rPr>
          <w:sz w:val="20"/>
        </w:rPr>
        <w:t xml:space="preserve">Alt-2: The IAB-node MT </w:t>
      </w:r>
      <w:r w:rsidRPr="00A36C2A">
        <w:rPr>
          <w:b/>
          <w:i/>
          <w:sz w:val="20"/>
        </w:rPr>
        <w:t>always</w:t>
      </w:r>
      <w:r>
        <w:rPr>
          <w:sz w:val="20"/>
        </w:rPr>
        <w:t xml:space="preserve"> performs N</w:t>
      </w:r>
      <w:r w:rsidRPr="00B40699">
        <w:rPr>
          <w:sz w:val="20"/>
          <w:vertAlign w:val="subscript"/>
        </w:rPr>
        <w:t>TA</w:t>
      </w:r>
      <w:r>
        <w:rPr>
          <w:sz w:val="20"/>
        </w:rPr>
        <w:t xml:space="preserve"> rounding on the UL of the serving cell indicating T_delta.</w:t>
      </w:r>
    </w:p>
    <w:p w:rsidR="00B40699" w:rsidRPr="00B40699" w:rsidRDefault="00A36C2A" w:rsidP="00B40699">
      <w:pPr>
        <w:pStyle w:val="ListParagraph"/>
        <w:numPr>
          <w:ilvl w:val="0"/>
          <w:numId w:val="12"/>
        </w:numPr>
        <w:spacing w:before="120" w:after="120"/>
        <w:rPr>
          <w:sz w:val="20"/>
        </w:rPr>
      </w:pPr>
      <w:r>
        <w:rPr>
          <w:sz w:val="20"/>
        </w:rPr>
        <w:t>Alt-3: The IAB-node MT may perform N</w:t>
      </w:r>
      <w:r w:rsidRPr="00B40699">
        <w:rPr>
          <w:sz w:val="20"/>
          <w:vertAlign w:val="subscript"/>
        </w:rPr>
        <w:t>TA</w:t>
      </w:r>
      <w:r>
        <w:rPr>
          <w:sz w:val="20"/>
        </w:rPr>
        <w:t xml:space="preserve"> rounding at a time but not perform N</w:t>
      </w:r>
      <w:r w:rsidRPr="00B40699">
        <w:rPr>
          <w:sz w:val="20"/>
          <w:vertAlign w:val="subscript"/>
        </w:rPr>
        <w:t>TA</w:t>
      </w:r>
      <w:r>
        <w:rPr>
          <w:sz w:val="20"/>
        </w:rPr>
        <w:t xml:space="preserve"> rounding at another time</w:t>
      </w:r>
      <w:r w:rsidR="00651857">
        <w:rPr>
          <w:sz w:val="20"/>
        </w:rPr>
        <w:t>, on the UL of the serving cell indicating T_delta</w:t>
      </w:r>
      <w:r>
        <w:rPr>
          <w:sz w:val="20"/>
        </w:rPr>
        <w:t xml:space="preserve">. </w:t>
      </w:r>
      <w:r w:rsidR="00B40699">
        <w:rPr>
          <w:sz w:val="20"/>
        </w:rPr>
        <w:t xml:space="preserve"> </w:t>
      </w:r>
    </w:p>
    <w:p w:rsidR="00F67BEE" w:rsidRDefault="00137D3B">
      <w:pPr>
        <w:spacing w:before="120" w:after="120"/>
        <w:rPr>
          <w:sz w:val="20"/>
        </w:rPr>
      </w:pPr>
      <w:r>
        <w:rPr>
          <w:sz w:val="20"/>
        </w:rPr>
        <w:t>Alt-</w:t>
      </w:r>
      <w:r w:rsidR="0010505D">
        <w:rPr>
          <w:sz w:val="20"/>
        </w:rPr>
        <w:t xml:space="preserve">3 may </w:t>
      </w:r>
      <w:r>
        <w:rPr>
          <w:sz w:val="20"/>
        </w:rPr>
        <w:t>introduce potential timing errors in one-way propagation delay</w:t>
      </w:r>
      <w:r w:rsidR="001C05D9">
        <w:rPr>
          <w:sz w:val="20"/>
        </w:rPr>
        <w:t xml:space="preserve"> estimation</w:t>
      </w:r>
      <w:r w:rsidR="0010505D">
        <w:rPr>
          <w:sz w:val="20"/>
        </w:rPr>
        <w:t xml:space="preserve">, because </w:t>
      </w:r>
      <w:r w:rsidR="001C05D9">
        <w:rPr>
          <w:sz w:val="20"/>
        </w:rPr>
        <w:t xml:space="preserve">the paired </w:t>
      </w:r>
      <w:r w:rsidR="0010505D">
        <w:rPr>
          <w:sz w:val="20"/>
        </w:rPr>
        <w:t>N</w:t>
      </w:r>
      <w:r w:rsidR="0010505D" w:rsidRPr="00137D3B">
        <w:rPr>
          <w:sz w:val="20"/>
          <w:vertAlign w:val="subscript"/>
        </w:rPr>
        <w:t>TA</w:t>
      </w:r>
      <w:r w:rsidR="0010505D">
        <w:rPr>
          <w:sz w:val="20"/>
        </w:rPr>
        <w:t xml:space="preserve"> and T_delta may not be able to lock on the same rounding to fully cancel the rounding effect</w:t>
      </w:r>
      <w:r>
        <w:rPr>
          <w:sz w:val="20"/>
        </w:rPr>
        <w:t>.</w:t>
      </w:r>
      <w:r w:rsidR="0010505D">
        <w:rPr>
          <w:sz w:val="20"/>
        </w:rPr>
        <w:t xml:space="preserve"> The Alt-2</w:t>
      </w:r>
      <w:r w:rsidR="001C05D9">
        <w:rPr>
          <w:sz w:val="20"/>
        </w:rPr>
        <w:t xml:space="preserve"> can be still challenged by the rounding criteria of “</w:t>
      </w:r>
      <w:r w:rsidR="001C05D9" w:rsidRPr="00B40699">
        <w:rPr>
          <w:i/>
          <w:sz w:val="20"/>
        </w:rPr>
        <w:t>satisfying the timing advance accuracy requirements in [10, TS38.133]</w:t>
      </w:r>
      <w:r w:rsidR="001C05D9">
        <w:rPr>
          <w:sz w:val="20"/>
        </w:rPr>
        <w:t xml:space="preserve">”. Among three alternatives, Alt-1 is the safest behavior for IAB-node MT. </w:t>
      </w:r>
      <w:r w:rsidR="0099290F">
        <w:rPr>
          <w:sz w:val="20"/>
        </w:rPr>
        <w:t xml:space="preserve">Meanwhile, Alt-1 does not go beyond what is allowed </w:t>
      </w:r>
      <w:r w:rsidR="0099290F">
        <w:rPr>
          <w:sz w:val="20"/>
        </w:rPr>
        <w:lastRenderedPageBreak/>
        <w:t xml:space="preserve">by current specification and does not </w:t>
      </w:r>
      <w:r w:rsidR="00F67BEE">
        <w:rPr>
          <w:sz w:val="20"/>
        </w:rPr>
        <w:t xml:space="preserve">either </w:t>
      </w:r>
      <w:r w:rsidR="0099290F">
        <w:rPr>
          <w:sz w:val="20"/>
        </w:rPr>
        <w:t xml:space="preserve">require additional coordination between IAB node and its parent node. Therefore it can be further discussed whether </w:t>
      </w:r>
      <w:r w:rsidR="00F67BEE">
        <w:rPr>
          <w:sz w:val="20"/>
        </w:rPr>
        <w:t>the specification should</w:t>
      </w:r>
      <w:r w:rsidR="0099290F">
        <w:rPr>
          <w:sz w:val="20"/>
        </w:rPr>
        <w:t xml:space="preserve"> introduce new </w:t>
      </w:r>
      <w:r w:rsidR="00F67BEE">
        <w:rPr>
          <w:sz w:val="20"/>
        </w:rPr>
        <w:t xml:space="preserve">restriction to local IAB-node MT behavior. </w:t>
      </w:r>
    </w:p>
    <w:p w:rsidR="001E49C7" w:rsidRPr="005B6078" w:rsidRDefault="003168A5" w:rsidP="005B6078">
      <w:pPr>
        <w:spacing w:beforeLines="0" w:afterLines="0"/>
        <w:rPr>
          <w:b/>
          <w:i/>
          <w:sz w:val="20"/>
        </w:rPr>
      </w:pPr>
      <w:r>
        <w:rPr>
          <w:b/>
          <w:i/>
          <w:sz w:val="20"/>
        </w:rPr>
        <w:t>Proposal 3</w:t>
      </w:r>
      <w:r w:rsidR="00F67BEE" w:rsidRPr="005B6078">
        <w:rPr>
          <w:b/>
          <w:i/>
          <w:sz w:val="20"/>
        </w:rPr>
        <w:t xml:space="preserve">: </w:t>
      </w:r>
      <w:r w:rsidR="001E49C7" w:rsidRPr="005B6078">
        <w:rPr>
          <w:b/>
          <w:i/>
          <w:sz w:val="20"/>
        </w:rPr>
        <w:t>IAB-node MT shall not perform N</w:t>
      </w:r>
      <w:r w:rsidR="001E49C7" w:rsidRPr="005B6078">
        <w:rPr>
          <w:b/>
          <w:i/>
          <w:sz w:val="20"/>
          <w:vertAlign w:val="subscript"/>
        </w:rPr>
        <w:t>TA</w:t>
      </w:r>
      <w:r w:rsidR="001E49C7" w:rsidRPr="005B6078">
        <w:rPr>
          <w:b/>
          <w:i/>
          <w:sz w:val="20"/>
        </w:rPr>
        <w:t xml:space="preserve"> rounding on the uplink associated with the serving cell that indicates T_delta. </w:t>
      </w:r>
    </w:p>
    <w:p w:rsidR="00D5069D" w:rsidRPr="005B6078" w:rsidRDefault="0049651A" w:rsidP="005B6078">
      <w:pPr>
        <w:pStyle w:val="ListParagraph"/>
        <w:numPr>
          <w:ilvl w:val="0"/>
          <w:numId w:val="13"/>
        </w:numPr>
        <w:spacing w:before="120" w:after="120"/>
        <w:ind w:left="1080"/>
        <w:rPr>
          <w:b/>
          <w:i/>
          <w:sz w:val="20"/>
        </w:rPr>
      </w:pPr>
      <w:r>
        <w:rPr>
          <w:b/>
          <w:i/>
          <w:sz w:val="20"/>
        </w:rPr>
        <w:t xml:space="preserve"> RAN1 to decide </w:t>
      </w:r>
      <w:r w:rsidR="001E49C7" w:rsidRPr="005B6078">
        <w:rPr>
          <w:b/>
          <w:i/>
          <w:sz w:val="20"/>
        </w:rPr>
        <w:t>whether to capture this restriction in specification or just</w:t>
      </w:r>
      <w:r w:rsidR="005B6078" w:rsidRPr="005B6078">
        <w:rPr>
          <w:b/>
          <w:i/>
          <w:sz w:val="20"/>
        </w:rPr>
        <w:t xml:space="preserve"> in </w:t>
      </w:r>
      <w:r w:rsidR="005B6078">
        <w:rPr>
          <w:b/>
          <w:i/>
          <w:sz w:val="20"/>
        </w:rPr>
        <w:t xml:space="preserve">RAN1 </w:t>
      </w:r>
      <w:r w:rsidR="005B6078" w:rsidRPr="005B6078">
        <w:rPr>
          <w:b/>
          <w:i/>
          <w:sz w:val="20"/>
        </w:rPr>
        <w:t xml:space="preserve">meeting minutes. </w:t>
      </w:r>
    </w:p>
    <w:p w:rsidR="00D5069D" w:rsidRDefault="006B05DC">
      <w:pPr>
        <w:pStyle w:val="Heading1"/>
        <w:spacing w:before="120" w:after="120"/>
        <w:ind w:left="0"/>
        <w:rPr>
          <w:rFonts w:eastAsia="SimSun"/>
        </w:rPr>
      </w:pPr>
      <w:r>
        <w:rPr>
          <w:rFonts w:eastAsia="SimSun" w:hint="eastAsia"/>
        </w:rPr>
        <w:t>Conclusion</w:t>
      </w:r>
    </w:p>
    <w:p w:rsidR="00D5069D" w:rsidRDefault="006B05DC">
      <w:pPr>
        <w:snapToGrid w:val="0"/>
        <w:spacing w:before="120" w:after="120"/>
        <w:rPr>
          <w:sz w:val="20"/>
        </w:rPr>
      </w:pPr>
      <w:r>
        <w:rPr>
          <w:rFonts w:hint="eastAsia"/>
          <w:sz w:val="20"/>
        </w:rPr>
        <w:t xml:space="preserve">Based on above discussion, this contribution concludes with </w:t>
      </w:r>
      <w:r>
        <w:rPr>
          <w:sz w:val="20"/>
        </w:rPr>
        <w:t>the following</w:t>
      </w:r>
      <w:r>
        <w:rPr>
          <w:rFonts w:hint="eastAsia"/>
          <w:sz w:val="20"/>
        </w:rPr>
        <w:t xml:space="preserve"> </w:t>
      </w:r>
      <w:r>
        <w:rPr>
          <w:sz w:val="20"/>
        </w:rPr>
        <w:t>proposal</w:t>
      </w:r>
      <w:r>
        <w:rPr>
          <w:rFonts w:hint="eastAsia"/>
          <w:sz w:val="20"/>
        </w:rPr>
        <w:t>s:</w:t>
      </w:r>
    </w:p>
    <w:p w:rsidR="005914F0" w:rsidRPr="003A0B05" w:rsidRDefault="005914F0" w:rsidP="005914F0">
      <w:pPr>
        <w:spacing w:before="120" w:after="120"/>
        <w:rPr>
          <w:b/>
          <w:i/>
          <w:sz w:val="20"/>
        </w:rPr>
      </w:pPr>
      <w:r w:rsidRPr="003A0B05">
        <w:rPr>
          <w:b/>
          <w:i/>
          <w:sz w:val="20"/>
        </w:rPr>
        <w:t xml:space="preserve">Proposal 1: An index value </w:t>
      </w:r>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oMath>
      <w:r w:rsidRPr="003A0B05">
        <w:rPr>
          <w:b/>
          <w:i/>
          <w:sz w:val="20"/>
        </w:rPr>
        <w:t xml:space="preserve"> in Timing Delta MAC-CE, where </w:t>
      </w:r>
      <m:oMath>
        <m:r>
          <m:rPr>
            <m:sty m:val="bi"/>
          </m:rPr>
          <w:rPr>
            <w:rFonts w:ascii="Cambria Math" w:hAnsi="Cambria Math"/>
            <w:sz w:val="20"/>
          </w:rPr>
          <m:t>0≤</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w:r w:rsidRPr="003A0B05">
        <w:rPr>
          <w:b/>
          <w:i/>
          <w:sz w:val="20"/>
        </w:rPr>
        <w:t xml:space="preserve">, represents the T_delta value x satisfying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∙∆≤x+</m:t>
        </m:r>
        <m:f>
          <m:fPr>
            <m:type m:val="lin"/>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TA,offset</m:t>
                </m:r>
              </m:sub>
            </m:sSub>
          </m:num>
          <m:den>
            <m:r>
              <m:rPr>
                <m:sty m:val="bi"/>
              </m:rPr>
              <w:rPr>
                <w:rFonts w:ascii="Cambria Math" w:hAnsi="Cambria Math"/>
                <w:sz w:val="20"/>
              </w:rPr>
              <m:t>2</m:t>
            </m:r>
          </m:den>
        </m:f>
        <m:r>
          <m:rPr>
            <m:sty m:val="bi"/>
          </m:rPr>
          <w:rPr>
            <w:rFonts w:ascii="Cambria Math" w:hAnsi="Cambria Math"/>
            <w:sz w:val="20"/>
          </w:rPr>
          <m:t>&lt;</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r>
          <m:rPr>
            <m:sty m:val="bi"/>
          </m:rPr>
          <w:rPr>
            <w:rFonts w:ascii="Cambria Math" w:hAnsi="Cambria Math"/>
            <w:sz w:val="20"/>
          </w:rPr>
          <m:t>+</m:t>
        </m:r>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+1</m:t>
            </m:r>
          </m:e>
        </m:d>
        <m:r>
          <m:rPr>
            <m:sty m:val="bi"/>
          </m:rPr>
          <w:rPr>
            <w:rFonts w:ascii="Cambria Math" w:hAnsi="Cambria Math"/>
            <w:sz w:val="20"/>
          </w:rPr>
          <m:t>∙∆</m:t>
        </m:r>
      </m:oMath>
      <w:r>
        <w:rPr>
          <w:b/>
          <w:i/>
          <w:sz w:val="20"/>
        </w:rPr>
        <w:t xml:space="preserve"> in unit of Tc</w:t>
      </w:r>
      <w:r w:rsidRPr="003A0B05">
        <w:rPr>
          <w:b/>
          <w:i/>
          <w:sz w:val="20"/>
        </w:rPr>
        <w:t xml:space="preserve">, where </w:t>
      </w:r>
      <m:oMath>
        <m:r>
          <m:rPr>
            <m:sty m:val="bi"/>
          </m:rPr>
          <w:rPr>
            <w:rFonts w:ascii="Cambria Math" w:hAnsi="Cambria Math"/>
            <w:sz w:val="20"/>
          </w:rPr>
          <m:t xml:space="preserve"> </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w:r w:rsidRPr="003A0B05">
        <w:rPr>
          <w:b/>
          <w:i/>
          <w:sz w:val="20"/>
        </w:rPr>
        <w:t>,</w:t>
      </w:r>
      <m:oMath>
        <m:r>
          <m:rPr>
            <m:sty m:val="bi"/>
          </m:rPr>
          <w:rPr>
            <w:rFonts w:ascii="Cambria Math" w:hAnsi="Cambria Math"/>
            <w:sz w:val="20"/>
          </w:rPr>
          <m:t xml:space="preserve"> </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oMath>
      <w:r w:rsidRPr="003A0B05">
        <w:rPr>
          <w:b/>
          <w:i/>
          <w:sz w:val="20"/>
        </w:rPr>
        <w:t xml:space="preserve"> and </w:t>
      </w:r>
      <m:oMath>
        <m:r>
          <m:rPr>
            <m:sty m:val="bi"/>
          </m:rPr>
          <w:rPr>
            <w:rFonts w:ascii="Cambria Math" w:hAnsi="Cambria Math"/>
            <w:sz w:val="20"/>
          </w:rPr>
          <m:t>∆</m:t>
        </m:r>
      </m:oMath>
      <w:r w:rsidRPr="003A0B05">
        <w:rPr>
          <w:b/>
          <w:i/>
          <w:sz w:val="20"/>
        </w:rPr>
        <w:t xml:space="preserve"> are given by the following.</w:t>
      </w:r>
    </w:p>
    <w:p w:rsidR="005914F0" w:rsidRDefault="005914F0" w:rsidP="005914F0">
      <w:pPr>
        <w:pStyle w:val="ListParagraph"/>
        <w:numPr>
          <w:ilvl w:val="0"/>
          <w:numId w:val="17"/>
        </w:numPr>
        <w:spacing w:before="120" w:after="120"/>
        <w:rPr>
          <w:b/>
          <w:i/>
          <w:sz w:val="20"/>
          <w:szCs w:val="20"/>
        </w:rPr>
      </w:pPr>
      <w:r w:rsidRPr="003A0B05">
        <w:rPr>
          <w:b/>
          <w:i/>
          <w:sz w:val="20"/>
          <w:szCs w:val="20"/>
        </w:rPr>
        <w:t>Option 1 (same value range and same granularity for all SCS+FR combinations</w:t>
      </w:r>
      <w:r>
        <w:rPr>
          <w:b/>
          <w:i/>
          <w:sz w:val="20"/>
          <w:szCs w:val="20"/>
        </w:rPr>
        <w:t>, requiring 12 bits</w:t>
      </w:r>
      <w:r w:rsidRPr="003A0B05">
        <w:rPr>
          <w:b/>
          <w:i/>
          <w:sz w:val="20"/>
          <w:szCs w:val="20"/>
        </w:rPr>
        <w:t>)</w:t>
      </w:r>
    </w:p>
    <w:p w:rsidR="005914F0" w:rsidRPr="00660A75" w:rsidRDefault="00DA464A" w:rsidP="005914F0">
      <w:pPr>
        <w:pStyle w:val="ListParagraph"/>
        <w:spacing w:before="120" w:after="120"/>
        <w:ind w:left="0"/>
        <w:jc w:val="center"/>
        <w:rPr>
          <w:b/>
          <w:i/>
          <w:sz w:val="20"/>
        </w:rPr>
      </w:pPr>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r>
          <m:rPr>
            <m:sty m:val="bi"/>
          </m:rPr>
          <w:rPr>
            <w:rFonts w:ascii="Cambria Math" w:hAnsi="Cambria Math"/>
            <w:sz w:val="20"/>
          </w:rPr>
          <m:t>=2399</m:t>
        </m:r>
      </m:oMath>
      <w:r w:rsidR="005914F0">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r>
          <m:rPr>
            <m:sty m:val="bi"/>
          </m:rPr>
          <w:rPr>
            <w:rFonts w:ascii="Cambria Math" w:hAnsi="Cambria Math"/>
            <w:sz w:val="20"/>
          </w:rPr>
          <m:t>=-70528</m:t>
        </m:r>
      </m:oMath>
      <w:r w:rsidR="005914F0">
        <w:rPr>
          <w:b/>
          <w:sz w:val="20"/>
        </w:rPr>
        <w:t xml:space="preserve">, </w:t>
      </w:r>
      <m:oMath>
        <m:r>
          <m:rPr>
            <m:sty m:val="bi"/>
          </m:rPr>
          <w:rPr>
            <w:rFonts w:ascii="Cambria Math" w:hAnsi="Cambria Math"/>
            <w:sz w:val="20"/>
          </w:rPr>
          <m:t>∆=32</m:t>
        </m:r>
      </m:oMath>
    </w:p>
    <w:p w:rsidR="005914F0" w:rsidRPr="003A0B05" w:rsidRDefault="005914F0" w:rsidP="005914F0">
      <w:pPr>
        <w:pStyle w:val="ListParagraph"/>
        <w:numPr>
          <w:ilvl w:val="0"/>
          <w:numId w:val="17"/>
        </w:numPr>
        <w:spacing w:before="120" w:after="120"/>
        <w:rPr>
          <w:b/>
          <w:i/>
          <w:sz w:val="20"/>
          <w:szCs w:val="20"/>
        </w:rPr>
      </w:pPr>
      <w:r>
        <w:rPr>
          <w:b/>
          <w:i/>
          <w:sz w:val="20"/>
          <w:szCs w:val="20"/>
        </w:rPr>
        <w:t>Option 2</w:t>
      </w:r>
      <w:r w:rsidRPr="003A0B05">
        <w:rPr>
          <w:b/>
          <w:i/>
          <w:sz w:val="20"/>
          <w:szCs w:val="20"/>
        </w:rPr>
        <w:t xml:space="preserve"> (both value range and granularity depend on FR but not on SCS</w:t>
      </w:r>
      <w:r>
        <w:rPr>
          <w:b/>
          <w:i/>
          <w:sz w:val="20"/>
          <w:szCs w:val="20"/>
        </w:rPr>
        <w:t>, requiring 11 bits</w:t>
      </w:r>
      <w:r w:rsidRPr="003A0B05">
        <w:rPr>
          <w:b/>
          <w:i/>
          <w:sz w:val="20"/>
          <w:szCs w:val="20"/>
        </w:rPr>
        <w:t>)</w:t>
      </w:r>
    </w:p>
    <w:tbl>
      <w:tblPr>
        <w:tblStyle w:val="TableGrid"/>
        <w:tblW w:w="0" w:type="auto"/>
        <w:jc w:val="center"/>
        <w:tblLook w:val="04A0"/>
      </w:tblPr>
      <w:tblGrid>
        <w:gridCol w:w="3322"/>
        <w:gridCol w:w="609"/>
        <w:gridCol w:w="783"/>
        <w:gridCol w:w="416"/>
      </w:tblGrid>
      <w:tr w:rsidR="005914F0" w:rsidRPr="00AD1043" w:rsidTr="00612D97">
        <w:trPr>
          <w:jc w:val="center"/>
        </w:trPr>
        <w:tc>
          <w:tcPr>
            <w:tcW w:w="0" w:type="auto"/>
            <w:vAlign w:val="center"/>
          </w:tcPr>
          <w:p w:rsidR="005914F0" w:rsidRPr="00AD1043" w:rsidRDefault="005914F0" w:rsidP="00612D97">
            <w:pPr>
              <w:spacing w:before="120" w:after="120"/>
              <w:jc w:val="center"/>
              <w:rPr>
                <w:b/>
                <w:i/>
                <w:sz w:val="20"/>
              </w:rPr>
            </w:pPr>
            <w:r w:rsidRPr="00AD1043">
              <w:rPr>
                <w:b/>
                <w:i/>
                <w:sz w:val="20"/>
              </w:rPr>
              <w:t>FR for serving cell indicating T_delta</w:t>
            </w:r>
          </w:p>
        </w:tc>
        <w:tc>
          <w:tcPr>
            <w:tcW w:w="0" w:type="auto"/>
            <w:vAlign w:val="center"/>
          </w:tcPr>
          <w:p w:rsidR="005914F0" w:rsidRPr="00AD1043" w:rsidRDefault="00DA464A" w:rsidP="00612D97">
            <w:pPr>
              <w:spacing w:before="120" w:after="120"/>
              <w:jc w:val="center"/>
              <w:rPr>
                <w:b/>
                <w:i/>
                <w:sz w:val="20"/>
              </w:rPr>
            </w:pPr>
            <m:oMathPara>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m:oMathPara>
          </w:p>
        </w:tc>
        <w:tc>
          <w:tcPr>
            <w:tcW w:w="0" w:type="auto"/>
            <w:vAlign w:val="center"/>
          </w:tcPr>
          <w:p w:rsidR="005914F0" w:rsidRPr="00AD1043" w:rsidRDefault="00DA464A" w:rsidP="00612D97">
            <w:pPr>
              <w:spacing w:before="120" w:after="120"/>
              <w:jc w:val="center"/>
              <w:rPr>
                <w:b/>
                <w:i/>
                <w:sz w:val="20"/>
              </w:rPr>
            </w:pPr>
            <m:oMathPara>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oMath>
            </m:oMathPara>
          </w:p>
        </w:tc>
        <w:tc>
          <w:tcPr>
            <w:tcW w:w="0" w:type="auto"/>
            <w:vAlign w:val="center"/>
          </w:tcPr>
          <w:p w:rsidR="005914F0" w:rsidRPr="00AD1043" w:rsidRDefault="005914F0" w:rsidP="00612D97">
            <w:pPr>
              <w:spacing w:before="120" w:after="120"/>
              <w:jc w:val="center"/>
              <w:rPr>
                <w:b/>
                <w:i/>
                <w:sz w:val="20"/>
              </w:rPr>
            </w:pPr>
            <m:oMathPara>
              <m:oMath>
                <m:r>
                  <m:rPr>
                    <m:sty m:val="bi"/>
                  </m:rPr>
                  <w:rPr>
                    <w:rFonts w:ascii="Cambria Math" w:hAnsi="Cambria Math"/>
                    <w:sz w:val="20"/>
                  </w:rPr>
                  <m:t>∆</m:t>
                </m:r>
              </m:oMath>
            </m:oMathPara>
          </w:p>
        </w:tc>
      </w:tr>
      <w:tr w:rsidR="005914F0" w:rsidRPr="00AD1043" w:rsidTr="00612D97">
        <w:trPr>
          <w:jc w:val="center"/>
        </w:trPr>
        <w:tc>
          <w:tcPr>
            <w:tcW w:w="0" w:type="auto"/>
            <w:vAlign w:val="center"/>
          </w:tcPr>
          <w:p w:rsidR="005914F0" w:rsidRPr="00AD1043" w:rsidRDefault="005914F0" w:rsidP="00612D97">
            <w:pPr>
              <w:spacing w:before="120" w:after="120"/>
              <w:jc w:val="center"/>
              <w:rPr>
                <w:b/>
                <w:i/>
                <w:sz w:val="20"/>
              </w:rPr>
            </w:pPr>
            <w:r w:rsidRPr="00AD1043">
              <w:rPr>
                <w:b/>
                <w:i/>
                <w:sz w:val="20"/>
              </w:rPr>
              <w:t>FR1</w:t>
            </w:r>
          </w:p>
        </w:tc>
        <w:tc>
          <w:tcPr>
            <w:tcW w:w="0" w:type="auto"/>
            <w:vAlign w:val="center"/>
          </w:tcPr>
          <w:p w:rsidR="005914F0" w:rsidRPr="00AD1043" w:rsidRDefault="005914F0" w:rsidP="00612D97">
            <w:pPr>
              <w:spacing w:before="120" w:after="120"/>
              <w:jc w:val="center"/>
              <w:rPr>
                <w:b/>
                <w:i/>
                <w:sz w:val="20"/>
              </w:rPr>
            </w:pPr>
            <w:r w:rsidRPr="00AD1043">
              <w:rPr>
                <w:b/>
                <w:i/>
                <w:sz w:val="20"/>
              </w:rPr>
              <w:t>1199</w:t>
            </w:r>
          </w:p>
        </w:tc>
        <w:tc>
          <w:tcPr>
            <w:tcW w:w="0" w:type="auto"/>
            <w:vAlign w:val="center"/>
          </w:tcPr>
          <w:p w:rsidR="005914F0" w:rsidRPr="00AD1043" w:rsidRDefault="005914F0" w:rsidP="00612D97">
            <w:pPr>
              <w:spacing w:before="120" w:after="120"/>
              <w:jc w:val="center"/>
              <w:rPr>
                <w:b/>
                <w:i/>
                <w:sz w:val="20"/>
              </w:rPr>
            </w:pPr>
            <w:r w:rsidRPr="00AD1043">
              <w:rPr>
                <w:b/>
                <w:i/>
                <w:sz w:val="20"/>
              </w:rPr>
              <w:t>-70528</w:t>
            </w:r>
          </w:p>
        </w:tc>
        <w:tc>
          <w:tcPr>
            <w:tcW w:w="0" w:type="auto"/>
            <w:vAlign w:val="center"/>
          </w:tcPr>
          <w:p w:rsidR="005914F0" w:rsidRPr="00AD1043" w:rsidRDefault="005914F0" w:rsidP="00612D97">
            <w:pPr>
              <w:spacing w:before="120" w:after="120"/>
              <w:jc w:val="center"/>
              <w:rPr>
                <w:b/>
                <w:i/>
                <w:sz w:val="20"/>
              </w:rPr>
            </w:pPr>
            <w:r w:rsidRPr="00AD1043">
              <w:rPr>
                <w:b/>
                <w:i/>
                <w:sz w:val="20"/>
              </w:rPr>
              <w:t>64</w:t>
            </w:r>
          </w:p>
        </w:tc>
      </w:tr>
      <w:tr w:rsidR="005914F0" w:rsidRPr="00AD1043" w:rsidTr="00612D97">
        <w:trPr>
          <w:jc w:val="center"/>
        </w:trPr>
        <w:tc>
          <w:tcPr>
            <w:tcW w:w="0" w:type="auto"/>
            <w:vAlign w:val="center"/>
          </w:tcPr>
          <w:p w:rsidR="005914F0" w:rsidRPr="00AD1043" w:rsidRDefault="005914F0" w:rsidP="00612D97">
            <w:pPr>
              <w:spacing w:before="120" w:after="120"/>
              <w:jc w:val="center"/>
              <w:rPr>
                <w:b/>
                <w:i/>
                <w:sz w:val="20"/>
              </w:rPr>
            </w:pPr>
            <w:r w:rsidRPr="00AD1043">
              <w:rPr>
                <w:b/>
                <w:i/>
                <w:sz w:val="20"/>
              </w:rPr>
              <w:t>FR2</w:t>
            </w:r>
          </w:p>
        </w:tc>
        <w:tc>
          <w:tcPr>
            <w:tcW w:w="0" w:type="auto"/>
            <w:vAlign w:val="center"/>
          </w:tcPr>
          <w:p w:rsidR="005914F0" w:rsidRPr="00AD1043" w:rsidRDefault="005914F0" w:rsidP="00612D97">
            <w:pPr>
              <w:spacing w:before="120" w:after="120"/>
              <w:jc w:val="center"/>
              <w:rPr>
                <w:b/>
                <w:i/>
                <w:sz w:val="20"/>
              </w:rPr>
            </w:pPr>
            <w:r w:rsidRPr="00AD1043">
              <w:rPr>
                <w:b/>
                <w:i/>
                <w:sz w:val="20"/>
              </w:rPr>
              <w:t>740</w:t>
            </w:r>
          </w:p>
        </w:tc>
        <w:tc>
          <w:tcPr>
            <w:tcW w:w="0" w:type="auto"/>
            <w:vAlign w:val="center"/>
          </w:tcPr>
          <w:p w:rsidR="005914F0" w:rsidRPr="00AD1043" w:rsidRDefault="005914F0" w:rsidP="00612D97">
            <w:pPr>
              <w:spacing w:before="120" w:after="120"/>
              <w:jc w:val="center"/>
              <w:rPr>
                <w:b/>
                <w:i/>
                <w:sz w:val="20"/>
              </w:rPr>
            </w:pPr>
            <w:r w:rsidRPr="00AD1043">
              <w:rPr>
                <w:b/>
                <w:i/>
                <w:sz w:val="20"/>
              </w:rPr>
              <w:t>-17664</w:t>
            </w:r>
          </w:p>
        </w:tc>
        <w:tc>
          <w:tcPr>
            <w:tcW w:w="0" w:type="auto"/>
            <w:vAlign w:val="center"/>
          </w:tcPr>
          <w:p w:rsidR="005914F0" w:rsidRPr="00AD1043" w:rsidRDefault="005914F0" w:rsidP="00612D97">
            <w:pPr>
              <w:spacing w:before="120" w:after="120"/>
              <w:jc w:val="center"/>
              <w:rPr>
                <w:b/>
                <w:i/>
                <w:sz w:val="20"/>
              </w:rPr>
            </w:pPr>
            <w:r w:rsidRPr="00AD1043">
              <w:rPr>
                <w:b/>
                <w:i/>
                <w:sz w:val="20"/>
              </w:rPr>
              <w:t>32</w:t>
            </w:r>
          </w:p>
        </w:tc>
      </w:tr>
    </w:tbl>
    <w:p w:rsidR="005914F0" w:rsidRPr="003A0B05" w:rsidRDefault="005914F0" w:rsidP="005914F0">
      <w:pPr>
        <w:pStyle w:val="ListParagraph"/>
        <w:numPr>
          <w:ilvl w:val="0"/>
          <w:numId w:val="17"/>
        </w:numPr>
        <w:spacing w:before="120" w:after="120"/>
        <w:rPr>
          <w:b/>
          <w:i/>
          <w:sz w:val="20"/>
          <w:szCs w:val="20"/>
        </w:rPr>
      </w:pPr>
      <w:r>
        <w:rPr>
          <w:b/>
          <w:i/>
          <w:sz w:val="20"/>
          <w:szCs w:val="20"/>
        </w:rPr>
        <w:t>Option 3</w:t>
      </w:r>
      <w:r w:rsidRPr="003A0B05">
        <w:rPr>
          <w:b/>
          <w:i/>
          <w:sz w:val="20"/>
          <w:szCs w:val="20"/>
        </w:rPr>
        <w:t xml:space="preserve"> (</w:t>
      </w:r>
      <w:r>
        <w:rPr>
          <w:b/>
          <w:i/>
          <w:sz w:val="20"/>
          <w:szCs w:val="20"/>
        </w:rPr>
        <w:t>granularity depends on value/index range per FR, requiring 11 bits</w:t>
      </w:r>
      <w:r w:rsidRPr="003A0B05">
        <w:rPr>
          <w:b/>
          <w:i/>
          <w:sz w:val="20"/>
          <w:szCs w:val="20"/>
        </w:rPr>
        <w:t>)</w:t>
      </w:r>
    </w:p>
    <w:tbl>
      <w:tblPr>
        <w:tblStyle w:val="TableGrid"/>
        <w:tblW w:w="0" w:type="auto"/>
        <w:jc w:val="center"/>
        <w:tblLook w:val="04A0"/>
      </w:tblPr>
      <w:tblGrid>
        <w:gridCol w:w="3878"/>
        <w:gridCol w:w="2123"/>
        <w:gridCol w:w="616"/>
        <w:gridCol w:w="783"/>
        <w:gridCol w:w="416"/>
      </w:tblGrid>
      <w:tr w:rsidR="005914F0" w:rsidRPr="00AD1043" w:rsidTr="00612D97">
        <w:trPr>
          <w:jc w:val="center"/>
        </w:trPr>
        <w:tc>
          <w:tcPr>
            <w:tcW w:w="0" w:type="auto"/>
            <w:vAlign w:val="center"/>
          </w:tcPr>
          <w:p w:rsidR="005914F0" w:rsidRPr="00AD1043" w:rsidRDefault="005914F0" w:rsidP="00612D97">
            <w:pPr>
              <w:spacing w:before="120" w:after="120"/>
              <w:jc w:val="center"/>
              <w:rPr>
                <w:b/>
                <w:i/>
                <w:sz w:val="20"/>
              </w:rPr>
            </w:pPr>
            <w:r>
              <w:rPr>
                <w:b/>
                <w:i/>
                <w:sz w:val="20"/>
              </w:rPr>
              <w:t xml:space="preserve">value range of </w:t>
            </w:r>
            <m:oMath>
              <m:r>
                <m:rPr>
                  <m:sty m:val="bi"/>
                </m:rPr>
                <w:rPr>
                  <w:rFonts w:ascii="Cambria Math" w:hAnsi="Cambria Math"/>
                  <w:sz w:val="20"/>
                </w:rPr>
                <m:t>x+</m:t>
              </m:r>
              <m:f>
                <m:fPr>
                  <m:type m:val="lin"/>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TA,offset</m:t>
                      </m:r>
                    </m:sub>
                  </m:sSub>
                </m:num>
                <m:den>
                  <m:r>
                    <m:rPr>
                      <m:sty m:val="bi"/>
                    </m:rPr>
                    <w:rPr>
                      <w:rFonts w:ascii="Cambria Math" w:hAnsi="Cambria Math"/>
                      <w:sz w:val="20"/>
                    </w:rPr>
                    <m:t>2</m:t>
                  </m:r>
                </m:den>
              </m:f>
            </m:oMath>
          </w:p>
        </w:tc>
        <w:tc>
          <w:tcPr>
            <w:tcW w:w="0" w:type="auto"/>
          </w:tcPr>
          <w:p w:rsidR="005914F0" w:rsidRPr="00AD1043" w:rsidRDefault="00DA464A" w:rsidP="00612D97">
            <w:pPr>
              <w:spacing w:before="120" w:after="120"/>
              <w:jc w:val="center"/>
              <w:rPr>
                <w:rFonts w:ascii="Arial" w:hAnsi="Arial" w:cs="Arial"/>
                <w:b/>
                <w:sz w:val="20"/>
              </w:rPr>
            </w:pPr>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oMath>
            <w:r w:rsidR="005914F0" w:rsidRPr="002D2E7C">
              <w:rPr>
                <w:b/>
                <w:i/>
                <w:sz w:val="20"/>
              </w:rPr>
              <w:t xml:space="preserve"> range</w:t>
            </w:r>
          </w:p>
        </w:tc>
        <w:tc>
          <w:tcPr>
            <w:tcW w:w="0" w:type="auto"/>
            <w:vAlign w:val="center"/>
          </w:tcPr>
          <w:p w:rsidR="005914F0" w:rsidRPr="00AD1043" w:rsidRDefault="00DA464A" w:rsidP="00612D97">
            <w:pPr>
              <w:spacing w:before="120" w:after="120"/>
              <w:jc w:val="center"/>
              <w:rPr>
                <w:b/>
                <w:i/>
                <w:sz w:val="20"/>
              </w:rPr>
            </w:pPr>
            <m:oMathPara>
              <m:oMath>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m:oMathPara>
          </w:p>
        </w:tc>
        <w:tc>
          <w:tcPr>
            <w:tcW w:w="0" w:type="auto"/>
            <w:vAlign w:val="center"/>
          </w:tcPr>
          <w:p w:rsidR="005914F0" w:rsidRPr="00AD1043" w:rsidRDefault="00DA464A" w:rsidP="00612D97">
            <w:pPr>
              <w:spacing w:before="120" w:after="120"/>
              <w:jc w:val="center"/>
              <w:rPr>
                <w:b/>
                <w:i/>
                <w:sz w:val="20"/>
              </w:rPr>
            </w:pPr>
            <m:oMathPara>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d,min</m:t>
                    </m:r>
                  </m:sub>
                </m:sSub>
              </m:oMath>
            </m:oMathPara>
          </w:p>
        </w:tc>
        <w:tc>
          <w:tcPr>
            <w:tcW w:w="0" w:type="auto"/>
            <w:vAlign w:val="center"/>
          </w:tcPr>
          <w:p w:rsidR="005914F0" w:rsidRPr="00AD1043" w:rsidRDefault="005914F0" w:rsidP="00612D97">
            <w:pPr>
              <w:spacing w:before="120" w:after="120"/>
              <w:jc w:val="center"/>
              <w:rPr>
                <w:b/>
                <w:i/>
                <w:sz w:val="20"/>
              </w:rPr>
            </w:pPr>
            <m:oMathPara>
              <m:oMath>
                <m:r>
                  <m:rPr>
                    <m:sty m:val="bi"/>
                  </m:rPr>
                  <w:rPr>
                    <w:rFonts w:ascii="Cambria Math" w:hAnsi="Cambria Math"/>
                    <w:sz w:val="20"/>
                  </w:rPr>
                  <m:t>∆</m:t>
                </m:r>
              </m:oMath>
            </m:oMathPara>
          </w:p>
        </w:tc>
      </w:tr>
      <w:tr w:rsidR="005914F0" w:rsidRPr="00AD1043" w:rsidTr="00612D97">
        <w:trPr>
          <w:jc w:val="center"/>
        </w:trPr>
        <w:tc>
          <w:tcPr>
            <w:tcW w:w="0" w:type="auto"/>
            <w:vAlign w:val="center"/>
          </w:tcPr>
          <w:p w:rsidR="005914F0" w:rsidRPr="002D2E7C" w:rsidRDefault="005914F0" w:rsidP="00612D97">
            <w:pPr>
              <w:spacing w:before="120" w:after="120"/>
              <w:jc w:val="center"/>
              <w:rPr>
                <w:b/>
                <w:i/>
                <w:sz w:val="20"/>
              </w:rPr>
            </w:pPr>
            <w:r>
              <w:rPr>
                <w:b/>
                <w:i/>
                <w:sz w:val="20"/>
              </w:rPr>
              <w:t>FR1 range only: [-70528, -17664]</w:t>
            </w:r>
          </w:p>
        </w:tc>
        <w:tc>
          <w:tcPr>
            <w:tcW w:w="0" w:type="auto"/>
          </w:tcPr>
          <w:p w:rsidR="005914F0" w:rsidRDefault="005914F0" w:rsidP="00612D97">
            <w:pPr>
              <w:spacing w:before="120" w:after="120"/>
              <w:jc w:val="center"/>
              <w:rPr>
                <w:b/>
                <w:i/>
                <w:sz w:val="20"/>
              </w:rPr>
            </w:pPr>
            <m:oMathPara>
              <m:oMath>
                <m:r>
                  <m:rPr>
                    <m:sty m:val="bi"/>
                  </m:rPr>
                  <w:rPr>
                    <w:rFonts w:ascii="Cambria Math" w:hAnsi="Cambria Math"/>
                    <w:sz w:val="20"/>
                  </w:rPr>
                  <m:t>0≤</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≤825</m:t>
                </m:r>
              </m:oMath>
            </m:oMathPara>
          </w:p>
        </w:tc>
        <w:tc>
          <w:tcPr>
            <w:tcW w:w="0" w:type="auto"/>
            <w:vMerge w:val="restart"/>
            <w:vAlign w:val="center"/>
          </w:tcPr>
          <w:p w:rsidR="005914F0" w:rsidRPr="00AD1043" w:rsidRDefault="005914F0" w:rsidP="00612D97">
            <w:pPr>
              <w:spacing w:before="120" w:after="120"/>
              <w:jc w:val="center"/>
              <w:rPr>
                <w:b/>
                <w:i/>
                <w:sz w:val="20"/>
              </w:rPr>
            </w:pPr>
            <w:r>
              <w:rPr>
                <w:b/>
                <w:i/>
                <w:sz w:val="20"/>
              </w:rPr>
              <w:t>1573</w:t>
            </w:r>
          </w:p>
        </w:tc>
        <w:tc>
          <w:tcPr>
            <w:tcW w:w="0" w:type="auto"/>
            <w:vAlign w:val="center"/>
          </w:tcPr>
          <w:p w:rsidR="005914F0" w:rsidRPr="00AD1043" w:rsidRDefault="005914F0" w:rsidP="00612D97">
            <w:pPr>
              <w:spacing w:before="120" w:after="120"/>
              <w:jc w:val="center"/>
              <w:rPr>
                <w:b/>
                <w:i/>
                <w:sz w:val="20"/>
              </w:rPr>
            </w:pPr>
            <w:r w:rsidRPr="00AD1043">
              <w:rPr>
                <w:b/>
                <w:i/>
                <w:sz w:val="20"/>
              </w:rPr>
              <w:t>-70528</w:t>
            </w:r>
          </w:p>
        </w:tc>
        <w:tc>
          <w:tcPr>
            <w:tcW w:w="0" w:type="auto"/>
            <w:vAlign w:val="center"/>
          </w:tcPr>
          <w:p w:rsidR="005914F0" w:rsidRPr="00AD1043" w:rsidRDefault="005914F0" w:rsidP="00612D97">
            <w:pPr>
              <w:spacing w:before="120" w:after="120"/>
              <w:jc w:val="center"/>
              <w:rPr>
                <w:b/>
                <w:i/>
                <w:sz w:val="20"/>
              </w:rPr>
            </w:pPr>
            <w:r w:rsidRPr="00AD1043">
              <w:rPr>
                <w:b/>
                <w:i/>
                <w:sz w:val="20"/>
              </w:rPr>
              <w:t>64</w:t>
            </w:r>
          </w:p>
        </w:tc>
      </w:tr>
      <w:tr w:rsidR="005914F0" w:rsidRPr="00AD1043" w:rsidTr="00612D97">
        <w:trPr>
          <w:jc w:val="center"/>
        </w:trPr>
        <w:tc>
          <w:tcPr>
            <w:tcW w:w="0" w:type="auto"/>
            <w:vAlign w:val="center"/>
          </w:tcPr>
          <w:p w:rsidR="005914F0" w:rsidRPr="00AD1043" w:rsidRDefault="005914F0" w:rsidP="00612D97">
            <w:pPr>
              <w:spacing w:before="120" w:after="120"/>
              <w:jc w:val="center"/>
              <w:rPr>
                <w:b/>
                <w:i/>
                <w:sz w:val="20"/>
              </w:rPr>
            </w:pPr>
            <w:r>
              <w:rPr>
                <w:b/>
                <w:i/>
                <w:sz w:val="20"/>
              </w:rPr>
              <w:t xml:space="preserve">FR1/FR2 overlapping range: </w:t>
            </w:r>
            <w:r w:rsidR="000B62AF">
              <w:rPr>
                <w:b/>
                <w:i/>
                <w:sz w:val="20"/>
              </w:rPr>
              <w:t>[-17664, 6256]</w:t>
            </w:r>
          </w:p>
        </w:tc>
        <w:tc>
          <w:tcPr>
            <w:tcW w:w="0" w:type="auto"/>
          </w:tcPr>
          <w:p w:rsidR="005914F0" w:rsidRPr="00AD1043" w:rsidRDefault="005914F0" w:rsidP="00612D97">
            <w:pPr>
              <w:spacing w:before="120" w:after="120"/>
              <w:jc w:val="center"/>
              <w:rPr>
                <w:b/>
                <w:i/>
                <w:sz w:val="20"/>
              </w:rPr>
            </w:pPr>
            <m:oMathPara>
              <m:oMath>
                <m:r>
                  <m:rPr>
                    <m:sty m:val="bi"/>
                  </m:rPr>
                  <w:rPr>
                    <w:rFonts w:ascii="Cambria Math" w:hAnsi="Cambria Math"/>
                    <w:sz w:val="20"/>
                  </w:rPr>
                  <m:t>826≤</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≤1573</m:t>
                </m:r>
              </m:oMath>
            </m:oMathPara>
          </w:p>
        </w:tc>
        <w:tc>
          <w:tcPr>
            <w:tcW w:w="0" w:type="auto"/>
            <w:vMerge/>
            <w:vAlign w:val="center"/>
          </w:tcPr>
          <w:p w:rsidR="005914F0" w:rsidRPr="00AD1043" w:rsidRDefault="005914F0" w:rsidP="00612D97">
            <w:pPr>
              <w:spacing w:before="120" w:after="120"/>
              <w:jc w:val="center"/>
              <w:rPr>
                <w:b/>
                <w:i/>
                <w:sz w:val="20"/>
              </w:rPr>
            </w:pPr>
          </w:p>
        </w:tc>
        <w:tc>
          <w:tcPr>
            <w:tcW w:w="0" w:type="auto"/>
            <w:vAlign w:val="center"/>
          </w:tcPr>
          <w:p w:rsidR="005914F0" w:rsidRPr="00AD1043" w:rsidRDefault="005914F0" w:rsidP="00612D97">
            <w:pPr>
              <w:spacing w:before="120" w:after="120"/>
              <w:jc w:val="center"/>
              <w:rPr>
                <w:b/>
                <w:i/>
                <w:sz w:val="20"/>
              </w:rPr>
            </w:pPr>
            <w:r w:rsidRPr="00AD1043">
              <w:rPr>
                <w:b/>
                <w:i/>
                <w:sz w:val="20"/>
              </w:rPr>
              <w:t>-</w:t>
            </w:r>
            <w:r>
              <w:rPr>
                <w:b/>
                <w:i/>
                <w:sz w:val="20"/>
              </w:rPr>
              <w:t>44096</w:t>
            </w:r>
          </w:p>
        </w:tc>
        <w:tc>
          <w:tcPr>
            <w:tcW w:w="0" w:type="auto"/>
            <w:vAlign w:val="center"/>
          </w:tcPr>
          <w:p w:rsidR="005914F0" w:rsidRPr="00AD1043" w:rsidRDefault="005914F0" w:rsidP="00612D97">
            <w:pPr>
              <w:spacing w:before="120" w:after="120"/>
              <w:jc w:val="center"/>
              <w:rPr>
                <w:b/>
                <w:i/>
                <w:sz w:val="20"/>
              </w:rPr>
            </w:pPr>
            <w:r w:rsidRPr="00AD1043">
              <w:rPr>
                <w:b/>
                <w:i/>
                <w:sz w:val="20"/>
              </w:rPr>
              <w:t>32</w:t>
            </w:r>
          </w:p>
        </w:tc>
      </w:tr>
    </w:tbl>
    <w:p w:rsidR="00D5069D" w:rsidRDefault="00D5069D">
      <w:pPr>
        <w:spacing w:before="120" w:after="120"/>
      </w:pPr>
    </w:p>
    <w:p w:rsidR="00733E3F" w:rsidRPr="003168A5" w:rsidRDefault="00733E3F" w:rsidP="00733E3F">
      <w:pPr>
        <w:spacing w:before="120" w:after="120"/>
        <w:rPr>
          <w:rFonts w:ascii="Arial" w:hAnsi="Arial"/>
          <w:b/>
          <w:i/>
          <w:sz w:val="28"/>
        </w:rPr>
      </w:pPr>
      <w:r w:rsidRPr="003168A5">
        <w:rPr>
          <w:b/>
          <w:i/>
          <w:sz w:val="20"/>
        </w:rPr>
        <w:t xml:space="preserve">Proposal 2: The parent node is not expected to indicated T_delta if the measured T_delta exceeds the range corresponding to </w:t>
      </w:r>
      <m:oMath>
        <m:r>
          <m:rPr>
            <m:sty m:val="bi"/>
          </m:rPr>
          <w:rPr>
            <w:rFonts w:ascii="Cambria Math" w:hAnsi="Cambria Math"/>
            <w:sz w:val="20"/>
          </w:rPr>
          <m:t>0≤</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Tdelta</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I</m:t>
            </m:r>
          </m:e>
          <m:sub>
            <m:r>
              <m:rPr>
                <m:sty m:val="bi"/>
              </m:rPr>
              <w:rPr>
                <w:rFonts w:ascii="Cambria Math" w:hAnsi="Cambria Math"/>
                <w:sz w:val="20"/>
              </w:rPr>
              <m:t>max</m:t>
            </m:r>
          </m:sub>
        </m:sSub>
      </m:oMath>
      <w:r w:rsidRPr="003168A5">
        <w:rPr>
          <w:b/>
          <w:i/>
          <w:sz w:val="20"/>
        </w:rPr>
        <w:t>. This may not be captured in specification.</w:t>
      </w:r>
    </w:p>
    <w:p w:rsidR="005914F0" w:rsidRPr="005B6078" w:rsidRDefault="00733E3F" w:rsidP="005914F0">
      <w:pPr>
        <w:spacing w:beforeLines="0" w:afterLines="0"/>
        <w:rPr>
          <w:b/>
          <w:i/>
          <w:sz w:val="20"/>
        </w:rPr>
      </w:pPr>
      <w:r>
        <w:rPr>
          <w:b/>
          <w:i/>
          <w:sz w:val="20"/>
        </w:rPr>
        <w:t>Proposal 3</w:t>
      </w:r>
      <w:r w:rsidR="005914F0" w:rsidRPr="005B6078">
        <w:rPr>
          <w:b/>
          <w:i/>
          <w:sz w:val="20"/>
        </w:rPr>
        <w:t>: IAB-node MT shall not perform N</w:t>
      </w:r>
      <w:r w:rsidR="005914F0" w:rsidRPr="005B6078">
        <w:rPr>
          <w:b/>
          <w:i/>
          <w:sz w:val="20"/>
          <w:vertAlign w:val="subscript"/>
        </w:rPr>
        <w:t>TA</w:t>
      </w:r>
      <w:r w:rsidR="005914F0" w:rsidRPr="005B6078">
        <w:rPr>
          <w:b/>
          <w:i/>
          <w:sz w:val="20"/>
        </w:rPr>
        <w:t xml:space="preserve"> rounding on the uplink associated with the serving cell that indicates T_delta. </w:t>
      </w:r>
    </w:p>
    <w:p w:rsidR="005914F0" w:rsidRPr="005B6078" w:rsidRDefault="005914F0" w:rsidP="005914F0">
      <w:pPr>
        <w:pStyle w:val="ListParagraph"/>
        <w:numPr>
          <w:ilvl w:val="0"/>
          <w:numId w:val="13"/>
        </w:numPr>
        <w:spacing w:before="120" w:after="120"/>
        <w:ind w:left="1080"/>
        <w:rPr>
          <w:b/>
          <w:i/>
          <w:sz w:val="20"/>
        </w:rPr>
      </w:pPr>
      <w:r>
        <w:rPr>
          <w:b/>
          <w:i/>
          <w:sz w:val="20"/>
        </w:rPr>
        <w:t xml:space="preserve"> RAN1 to decide </w:t>
      </w:r>
      <w:r w:rsidRPr="005B6078">
        <w:rPr>
          <w:b/>
          <w:i/>
          <w:sz w:val="20"/>
        </w:rPr>
        <w:t xml:space="preserve">whether to capture this restriction in specification or just in </w:t>
      </w:r>
      <w:r>
        <w:rPr>
          <w:b/>
          <w:i/>
          <w:sz w:val="20"/>
        </w:rPr>
        <w:t xml:space="preserve">RAN1 </w:t>
      </w:r>
      <w:r w:rsidRPr="005B6078">
        <w:rPr>
          <w:b/>
          <w:i/>
          <w:sz w:val="20"/>
        </w:rPr>
        <w:t xml:space="preserve">meeting minutes. </w:t>
      </w:r>
    </w:p>
    <w:p w:rsidR="005914F0" w:rsidRPr="006C3884" w:rsidRDefault="005914F0">
      <w:pPr>
        <w:spacing w:before="120" w:after="120"/>
      </w:pPr>
    </w:p>
    <w:p w:rsidR="001D3B3D" w:rsidRDefault="001D3B3D">
      <w:pPr>
        <w:pStyle w:val="Heading1"/>
        <w:spacing w:before="120" w:after="120"/>
        <w:ind w:left="0"/>
        <w:rPr>
          <w:rFonts w:eastAsia="SimSun"/>
        </w:rPr>
      </w:pPr>
      <w:r>
        <w:rPr>
          <w:rFonts w:eastAsia="SimSun"/>
        </w:rPr>
        <w:t>Text proposals</w:t>
      </w:r>
      <w:r w:rsidR="00741941">
        <w:rPr>
          <w:rFonts w:eastAsia="SimSun"/>
        </w:rPr>
        <w:t xml:space="preserve"> for TS38.213</w:t>
      </w:r>
    </w:p>
    <w:p w:rsidR="001D3B3D" w:rsidRDefault="001D3B3D" w:rsidP="001D3B3D">
      <w:pPr>
        <w:spacing w:before="120" w:after="120"/>
      </w:pPr>
    </w:p>
    <w:p w:rsidR="00C75F26" w:rsidRDefault="00C75F26" w:rsidP="001D3B3D">
      <w:pPr>
        <w:spacing w:before="120" w:after="120"/>
      </w:pPr>
    </w:p>
    <w:p w:rsidR="00C75F26" w:rsidRDefault="00C75F26" w:rsidP="001D3B3D">
      <w:pPr>
        <w:spacing w:before="120" w:after="120"/>
      </w:pPr>
    </w:p>
    <w:p w:rsidR="00C75F26" w:rsidRDefault="00C75F26" w:rsidP="001D3B3D">
      <w:pPr>
        <w:spacing w:before="120" w:after="120"/>
      </w:pPr>
    </w:p>
    <w:p w:rsidR="00C75F26" w:rsidRDefault="00DA464A" w:rsidP="001D3B3D">
      <w:pPr>
        <w:spacing w:before="120" w:after="120"/>
      </w:pPr>
      <w:r>
        <w:rPr>
          <w:noProof/>
          <w:lang w:eastAsia="zh-TW"/>
        </w:rPr>
        <w:lastRenderedPageBreak/>
        <w:pict>
          <v:shapetype id="_x0000_t202" coordsize="21600,21600" o:spt="202" path="m,l,21600r21600,l21600,xe">
            <v:stroke joinstyle="miter"/>
            <v:path gradientshapeok="t" o:connecttype="rect"/>
          </v:shapetype>
          <v:shape id="_x0000_s1027" type="#_x0000_t202" style="position:absolute;left:0;text-align:left;margin-left:.8pt;margin-top:3.8pt;width:473.8pt;height:429.85pt;z-index:251660288;mso-width-relative:margin;mso-height-relative:margin">
            <v:textbox>
              <w:txbxContent>
                <w:p w:rsidR="00543B79" w:rsidRPr="00741941" w:rsidRDefault="00543B79" w:rsidP="00C75F26">
                  <w:pPr>
                    <w:spacing w:before="120" w:after="120"/>
                    <w:rPr>
                      <w:rFonts w:ascii="Arial" w:hAnsi="Arial" w:cs="Arial"/>
                      <w:kern w:val="0"/>
                      <w:sz w:val="36"/>
                      <w:szCs w:val="36"/>
                      <w:lang w:val="en-GB"/>
                    </w:rPr>
                  </w:pPr>
                  <w:bookmarkStart w:id="1" w:name="_Toc29894873"/>
                  <w:bookmarkStart w:id="2" w:name="_Toc29899172"/>
                  <w:bookmarkStart w:id="3" w:name="_Toc29899590"/>
                  <w:bookmarkStart w:id="4" w:name="_Toc29917326"/>
                  <w:bookmarkStart w:id="5" w:name="_Toc36498200"/>
                  <w:r w:rsidRPr="00741941">
                    <w:rPr>
                      <w:rFonts w:ascii="Arial" w:hAnsi="Arial" w:cs="Arial"/>
                      <w:sz w:val="36"/>
                      <w:szCs w:val="36"/>
                    </w:rPr>
                    <w:t>14</w:t>
                  </w:r>
                  <w:r w:rsidRPr="00741941">
                    <w:rPr>
                      <w:rFonts w:ascii="Arial" w:hAnsi="Arial" w:cs="Arial"/>
                      <w:sz w:val="36"/>
                      <w:szCs w:val="36"/>
                    </w:rPr>
                    <w:tab/>
                  </w:r>
                  <w:r>
                    <w:rPr>
                      <w:rFonts w:ascii="Arial" w:hAnsi="Arial" w:cs="Arial"/>
                      <w:sz w:val="36"/>
                      <w:szCs w:val="36"/>
                    </w:rPr>
                    <w:t xml:space="preserve"> </w:t>
                  </w:r>
                  <w:r w:rsidRPr="00741941">
                    <w:rPr>
                      <w:rFonts w:ascii="Arial" w:hAnsi="Arial" w:cs="Arial"/>
                      <w:sz w:val="36"/>
                      <w:szCs w:val="36"/>
                    </w:rPr>
                    <w:t>Integrated access-backhaul operation</w:t>
                  </w:r>
                  <w:bookmarkEnd w:id="1"/>
                  <w:bookmarkEnd w:id="2"/>
                  <w:bookmarkEnd w:id="3"/>
                  <w:bookmarkEnd w:id="4"/>
                  <w:bookmarkEnd w:id="5"/>
                </w:p>
                <w:p w:rsidR="00543B79" w:rsidRPr="00741941" w:rsidRDefault="00543B79" w:rsidP="00741941">
                  <w:pPr>
                    <w:spacing w:before="120" w:after="120"/>
                    <w:jc w:val="center"/>
                    <w:rPr>
                      <w:kern w:val="0"/>
                      <w:sz w:val="20"/>
                      <w:lang w:val="en-GB"/>
                    </w:rPr>
                  </w:pPr>
                  <w:r w:rsidRPr="00741941">
                    <w:rPr>
                      <w:b/>
                      <w:color w:val="0070C0"/>
                      <w:sz w:val="20"/>
                    </w:rPr>
                    <w:t>&lt;Unchanged text is omitted&gt;</w:t>
                  </w:r>
                </w:p>
                <w:p w:rsidR="00543B79" w:rsidRPr="00AD627A" w:rsidRDefault="00543B79" w:rsidP="00C75F26">
                  <w:pPr>
                    <w:spacing w:before="120" w:after="120"/>
                    <w:rPr>
                      <w:rFonts w:eastAsia="Times New Roman"/>
                      <w:bCs/>
                      <w:iCs/>
                      <w:color w:val="FF0000"/>
                      <w:kern w:val="0"/>
                      <w:sz w:val="20"/>
                      <w:u w:val="single"/>
                      <w:lang w:val="en-GB" w:eastAsia="en-US"/>
                    </w:rPr>
                  </w:pPr>
                  <w:r w:rsidRPr="00C75F26">
                    <w:rPr>
                      <w:kern w:val="0"/>
                      <w:sz w:val="20"/>
                      <w:lang w:val="en-GB"/>
                    </w:rPr>
                    <w:t>If an IAB-node</w:t>
                  </w:r>
                  <w:r w:rsidRPr="00C75F26">
                    <w:rPr>
                      <w:rFonts w:eastAsia="DengXian"/>
                      <w:kern w:val="0"/>
                      <w:sz w:val="20"/>
                      <w:lang w:val="en-GB"/>
                    </w:rPr>
                    <w:t xml:space="preserve"> is provided a value</w:t>
                  </w:r>
                  <w:r w:rsidRPr="00C75F26" w:rsidDel="005F1798">
                    <w:rPr>
                      <w:kern w:val="0"/>
                      <w:sz w:val="20"/>
                      <w:lang w:val="en-GB"/>
                    </w:rPr>
                    <w:t xml:space="preserve"> </w:t>
                  </w:r>
                  <m:oMath>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T</m:t>
                        </m:r>
                      </m:e>
                      <m:sub>
                        <m:r>
                          <m:rPr>
                            <m:nor/>
                          </m:rPr>
                          <w:rPr>
                            <w:rFonts w:eastAsia="DengXian"/>
                            <w:kern w:val="0"/>
                            <w:sz w:val="20"/>
                            <w:lang w:val="en-GB" w:eastAsia="en-US"/>
                          </w:rPr>
                          <m:t>delta</m:t>
                        </m:r>
                      </m:sub>
                    </m:sSub>
                  </m:oMath>
                  <w:r w:rsidRPr="00C75F26">
                    <w:rPr>
                      <w:kern w:val="0"/>
                      <w:sz w:val="20"/>
                      <w:lang w:val="en-GB" w:eastAsia="en-US"/>
                    </w:rPr>
                    <w:t xml:space="preserve"> from a serving cell, the IAB-node</w:t>
                  </w:r>
                  <w:r w:rsidRPr="00C75F26" w:rsidDel="005F1798">
                    <w:rPr>
                      <w:kern w:val="0"/>
                      <w:sz w:val="20"/>
                      <w:lang w:val="en-GB"/>
                    </w:rPr>
                    <w:t xml:space="preserve"> </w:t>
                  </w:r>
                  <w:r w:rsidRPr="00C75F26">
                    <w:rPr>
                      <w:kern w:val="0"/>
                      <w:sz w:val="20"/>
                      <w:lang w:val="en-GB"/>
                    </w:rPr>
                    <w:t xml:space="preserve">may assume that </w:t>
                  </w:r>
                  <m:oMath>
                    <m:d>
                      <m:dPr>
                        <m:ctrlPr>
                          <w:rPr>
                            <w:rFonts w:ascii="Cambria Math" w:eastAsia="Times New Roman" w:hAnsi="Cambria Math"/>
                            <w:kern w:val="0"/>
                            <w:sz w:val="20"/>
                            <w:lang w:val="en-GB" w:eastAsia="en-US"/>
                          </w:rPr>
                        </m:ctrlPr>
                      </m:dPr>
                      <m:e>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N</m:t>
                            </m:r>
                          </m:e>
                          <m:sub>
                            <m:r>
                              <m:rPr>
                                <m:nor/>
                              </m:rPr>
                              <w:rPr>
                                <w:rFonts w:eastAsia="DengXian"/>
                                <w:kern w:val="0"/>
                                <w:sz w:val="20"/>
                                <w:lang w:val="en-GB" w:eastAsia="en-US"/>
                              </w:rPr>
                              <m:t>TA</m:t>
                            </m:r>
                          </m:sub>
                        </m:sSub>
                        <m:r>
                          <m:rPr>
                            <m:sty m:val="p"/>
                          </m:rPr>
                          <w:rPr>
                            <w:rFonts w:ascii="Cambria Math" w:eastAsia="Times New Roman" w:hAnsi="Cambria Math"/>
                            <w:kern w:val="0"/>
                            <w:sz w:val="20"/>
                            <w:lang w:val="en-GB" w:eastAsia="en-US"/>
                          </w:rPr>
                          <m:t>+</m:t>
                        </m:r>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N</m:t>
                            </m:r>
                          </m:e>
                          <m:sub>
                            <m:r>
                              <m:rPr>
                                <m:nor/>
                              </m:rPr>
                              <w:rPr>
                                <w:rFonts w:eastAsia="DengXian"/>
                                <w:kern w:val="0"/>
                                <w:sz w:val="20"/>
                                <w:lang w:val="en-GB" w:eastAsia="en-US"/>
                              </w:rPr>
                              <m:t>TA,offset</m:t>
                            </m:r>
                          </m:sub>
                        </m:sSub>
                      </m:e>
                    </m:d>
                    <m:r>
                      <m:rPr>
                        <m:sty m:val="p"/>
                      </m:rPr>
                      <w:rPr>
                        <w:rFonts w:ascii="Cambria Math" w:eastAsia="Times New Roman" w:hAnsi="Cambria Math"/>
                        <w:kern w:val="0"/>
                        <w:sz w:val="20"/>
                        <w:lang w:val="en-GB" w:eastAsia="en-US"/>
                      </w:rPr>
                      <m:t>⋅</m:t>
                    </m:r>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T</m:t>
                        </m:r>
                      </m:e>
                      <m:sub>
                        <m:r>
                          <m:rPr>
                            <m:nor/>
                          </m:rPr>
                          <w:rPr>
                            <w:rFonts w:eastAsia="DengXian"/>
                            <w:kern w:val="0"/>
                            <w:sz w:val="20"/>
                            <w:lang w:val="en-GB" w:eastAsia="en-US"/>
                          </w:rPr>
                          <m:t>c</m:t>
                        </m:r>
                      </m:sub>
                    </m:sSub>
                    <m:r>
                      <m:rPr>
                        <m:sty m:val="p"/>
                      </m:rPr>
                      <w:rPr>
                        <w:rFonts w:ascii="Cambria Math" w:eastAsia="DengXian" w:hAnsi="Cambria Math"/>
                        <w:kern w:val="0"/>
                        <w:sz w:val="20"/>
                        <w:lang w:val="en-GB" w:eastAsia="en-US"/>
                      </w:rPr>
                      <m:t>/2+</m:t>
                    </m:r>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T</m:t>
                        </m:r>
                      </m:e>
                      <m:sub>
                        <m:r>
                          <m:rPr>
                            <m:nor/>
                          </m:rPr>
                          <w:rPr>
                            <w:rFonts w:eastAsia="DengXian"/>
                            <w:kern w:val="0"/>
                            <w:sz w:val="20"/>
                            <w:lang w:val="en-GB" w:eastAsia="en-US"/>
                          </w:rPr>
                          <m:t>delta</m:t>
                        </m:r>
                      </m:sub>
                    </m:sSub>
                  </m:oMath>
                  <w:r w:rsidRPr="00C75F26">
                    <w:rPr>
                      <w:kern w:val="0"/>
                      <w:sz w:val="20"/>
                      <w:lang w:val="en-GB" w:eastAsia="en-US"/>
                    </w:rPr>
                    <w:t xml:space="preserve"> </w:t>
                  </w:r>
                  <w:r w:rsidRPr="00C75F26">
                    <w:rPr>
                      <w:rFonts w:eastAsia="Times New Roman"/>
                      <w:iCs/>
                      <w:color w:val="000000"/>
                      <w:kern w:val="0"/>
                      <w:sz w:val="20"/>
                    </w:rPr>
                    <w:t>is a time difference between a DU transmission of a signal from the serving cell and a reception of the signal by the IAB-node MT</w:t>
                  </w:r>
                  <w:r w:rsidRPr="00C75F26">
                    <w:rPr>
                      <w:kern w:val="0"/>
                      <w:sz w:val="20"/>
                      <w:lang w:val="en-GB" w:eastAsia="en-US"/>
                    </w:rPr>
                    <w:t xml:space="preserve"> when </w:t>
                  </w:r>
                  <m:oMath>
                    <m:d>
                      <m:dPr>
                        <m:ctrlPr>
                          <w:rPr>
                            <w:rFonts w:ascii="Cambria Math" w:eastAsia="Times New Roman" w:hAnsi="Cambria Math"/>
                            <w:kern w:val="0"/>
                            <w:sz w:val="20"/>
                            <w:lang w:val="en-GB" w:eastAsia="en-US"/>
                          </w:rPr>
                        </m:ctrlPr>
                      </m:dPr>
                      <m:e>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N</m:t>
                            </m:r>
                          </m:e>
                          <m:sub>
                            <m:r>
                              <m:rPr>
                                <m:nor/>
                              </m:rPr>
                              <w:rPr>
                                <w:rFonts w:eastAsia="DengXian"/>
                                <w:kern w:val="0"/>
                                <w:sz w:val="20"/>
                                <w:lang w:val="en-GB" w:eastAsia="en-US"/>
                              </w:rPr>
                              <m:t>TA</m:t>
                            </m:r>
                          </m:sub>
                        </m:sSub>
                        <m:r>
                          <m:rPr>
                            <m:sty m:val="p"/>
                          </m:rPr>
                          <w:rPr>
                            <w:rFonts w:ascii="Cambria Math" w:eastAsia="Times New Roman" w:hAnsi="Cambria Math"/>
                            <w:kern w:val="0"/>
                            <w:sz w:val="20"/>
                            <w:lang w:val="en-GB" w:eastAsia="en-US"/>
                          </w:rPr>
                          <m:t>+</m:t>
                        </m:r>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N</m:t>
                            </m:r>
                          </m:e>
                          <m:sub>
                            <m:r>
                              <m:rPr>
                                <m:nor/>
                              </m:rPr>
                              <w:rPr>
                                <w:rFonts w:eastAsia="DengXian"/>
                                <w:kern w:val="0"/>
                                <w:sz w:val="20"/>
                                <w:lang w:val="en-GB" w:eastAsia="en-US"/>
                              </w:rPr>
                              <m:t>TA,offset</m:t>
                            </m:r>
                          </m:sub>
                        </m:sSub>
                      </m:e>
                    </m:d>
                    <m:r>
                      <m:rPr>
                        <m:sty m:val="p"/>
                      </m:rPr>
                      <w:rPr>
                        <w:rFonts w:ascii="Cambria Math" w:eastAsia="Times New Roman" w:hAnsi="Cambria Math"/>
                        <w:kern w:val="0"/>
                        <w:sz w:val="20"/>
                        <w:lang w:val="en-GB" w:eastAsia="en-US"/>
                      </w:rPr>
                      <m:t>⋅</m:t>
                    </m:r>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T</m:t>
                        </m:r>
                      </m:e>
                      <m:sub>
                        <m:r>
                          <m:rPr>
                            <m:nor/>
                          </m:rPr>
                          <w:rPr>
                            <w:rFonts w:eastAsia="DengXian"/>
                            <w:kern w:val="0"/>
                            <w:sz w:val="20"/>
                            <w:lang w:val="en-GB" w:eastAsia="en-US"/>
                          </w:rPr>
                          <m:t>c</m:t>
                        </m:r>
                      </m:sub>
                    </m:sSub>
                    <m:r>
                      <m:rPr>
                        <m:sty m:val="p"/>
                      </m:rPr>
                      <w:rPr>
                        <w:rFonts w:ascii="Cambria Math" w:eastAsia="DengXian" w:hAnsi="Cambria Math"/>
                        <w:kern w:val="0"/>
                        <w:sz w:val="20"/>
                        <w:lang w:val="en-GB" w:eastAsia="en-US"/>
                      </w:rPr>
                      <m:t>/2+</m:t>
                    </m:r>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T</m:t>
                        </m:r>
                      </m:e>
                      <m:sub>
                        <m:r>
                          <m:rPr>
                            <m:nor/>
                          </m:rPr>
                          <w:rPr>
                            <w:rFonts w:eastAsia="DengXian"/>
                            <w:kern w:val="0"/>
                            <w:sz w:val="20"/>
                            <w:lang w:val="en-GB" w:eastAsia="en-US"/>
                          </w:rPr>
                          <m:t>delta</m:t>
                        </m:r>
                      </m:sub>
                    </m:sSub>
                    <m:r>
                      <m:rPr>
                        <m:sty m:val="p"/>
                      </m:rPr>
                      <w:rPr>
                        <w:rFonts w:ascii="Cambria Math" w:eastAsia="DengXian" w:hAnsi="Cambria Math"/>
                        <w:kern w:val="0"/>
                        <w:sz w:val="20"/>
                        <w:lang w:val="en-GB" w:eastAsia="en-US"/>
                      </w:rPr>
                      <m:t>&gt;</m:t>
                    </m:r>
                    <m:r>
                      <w:rPr>
                        <w:rFonts w:ascii="Cambria Math" w:eastAsia="DengXian" w:hAnsi="Cambria Math"/>
                        <w:kern w:val="0"/>
                        <w:sz w:val="20"/>
                        <w:lang w:val="en-GB" w:eastAsia="en-US"/>
                      </w:rPr>
                      <m:t>0</m:t>
                    </m:r>
                  </m:oMath>
                  <w:r w:rsidRPr="00C75F26">
                    <w:rPr>
                      <w:kern w:val="0"/>
                      <w:sz w:val="20"/>
                      <w:lang w:val="en-GB" w:eastAsia="en-US"/>
                    </w:rPr>
                    <w:t xml:space="preserve">, where </w:t>
                  </w:r>
                  <m:oMath>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N</m:t>
                        </m:r>
                      </m:e>
                      <m:sub>
                        <m:r>
                          <m:rPr>
                            <m:nor/>
                          </m:rPr>
                          <w:rPr>
                            <w:rFonts w:eastAsia="DengXian"/>
                            <w:kern w:val="0"/>
                            <w:sz w:val="20"/>
                            <w:lang w:val="en-GB" w:eastAsia="en-US"/>
                          </w:rPr>
                          <m:t>TA</m:t>
                        </m:r>
                      </m:sub>
                    </m:sSub>
                  </m:oMath>
                  <w:r w:rsidRPr="00C75F26">
                    <w:rPr>
                      <w:kern w:val="0"/>
                      <w:sz w:val="20"/>
                      <w:lang w:val="en-GB" w:eastAsia="en-US"/>
                    </w:rPr>
                    <w:t xml:space="preserve"> and </w:t>
                  </w:r>
                  <m:oMath>
                    <m:sSub>
                      <m:sSubPr>
                        <m:ctrlPr>
                          <w:rPr>
                            <w:rFonts w:ascii="Cambria Math" w:eastAsia="DengXian" w:hAnsi="Cambria Math"/>
                            <w:kern w:val="0"/>
                            <w:sz w:val="20"/>
                            <w:lang w:val="en-GB" w:eastAsia="en-US"/>
                          </w:rPr>
                        </m:ctrlPr>
                      </m:sSubPr>
                      <m:e>
                        <m:r>
                          <m:rPr>
                            <m:sty m:val="p"/>
                          </m:rPr>
                          <w:rPr>
                            <w:rFonts w:ascii="Cambria Math" w:eastAsia="DengXian" w:hAnsi="Cambria Math"/>
                            <w:kern w:val="0"/>
                            <w:sz w:val="20"/>
                            <w:lang w:val="en-GB" w:eastAsia="en-US"/>
                          </w:rPr>
                          <m:t>N</m:t>
                        </m:r>
                      </m:e>
                      <m:sub>
                        <m:r>
                          <m:rPr>
                            <m:nor/>
                          </m:rPr>
                          <w:rPr>
                            <w:rFonts w:eastAsia="DengXian"/>
                            <w:kern w:val="0"/>
                            <w:sz w:val="20"/>
                            <w:lang w:val="en-GB" w:eastAsia="en-US"/>
                          </w:rPr>
                          <m:t>TA,offset</m:t>
                        </m:r>
                      </m:sub>
                    </m:sSub>
                  </m:oMath>
                  <w:r w:rsidRPr="00C75F26">
                    <w:rPr>
                      <w:kern w:val="0"/>
                      <w:sz w:val="20"/>
                      <w:lang w:val="en-GB" w:eastAsia="en-US"/>
                    </w:rPr>
                    <w:t xml:space="preserve"> are obtained as for a "UE" in Clause 4.2</w:t>
                  </w:r>
                  <w:r w:rsidRPr="00C75F26">
                    <w:rPr>
                      <w:rFonts w:eastAsia="Times New Roman"/>
                      <w:bCs/>
                      <w:iCs/>
                      <w:kern w:val="0"/>
                      <w:sz w:val="20"/>
                      <w:lang w:val="en-GB" w:eastAsia="en-US"/>
                    </w:rPr>
                    <w:t xml:space="preserve"> for the TAG containing the serving cell</w:t>
                  </w:r>
                  <w:r w:rsidRPr="00AD627A">
                    <w:rPr>
                      <w:rFonts w:eastAsia="Times New Roman"/>
                      <w:bCs/>
                      <w:iCs/>
                      <w:color w:val="FF0000"/>
                      <w:kern w:val="0"/>
                      <w:sz w:val="20"/>
                      <w:u w:val="single"/>
                      <w:lang w:val="en-GB" w:eastAsia="en-US"/>
                    </w:rPr>
                    <w:t>, with the following exception:</w:t>
                  </w:r>
                </w:p>
                <w:p w:rsidR="00543B79" w:rsidRPr="00741941" w:rsidRDefault="00543B79" w:rsidP="00741941">
                  <w:pPr>
                    <w:pStyle w:val="ListParagraph"/>
                    <w:numPr>
                      <w:ilvl w:val="0"/>
                      <w:numId w:val="18"/>
                    </w:numPr>
                    <w:spacing w:before="120" w:after="120"/>
                    <w:rPr>
                      <w:bCs/>
                      <w:iCs/>
                      <w:kern w:val="0"/>
                      <w:sz w:val="20"/>
                      <w:lang w:val="en-GB" w:eastAsia="en-US"/>
                    </w:rPr>
                  </w:pPr>
                  <w:r w:rsidRPr="00AD627A">
                    <w:rPr>
                      <w:bCs/>
                      <w:iCs/>
                      <w:color w:val="FF0000"/>
                      <w:kern w:val="0"/>
                      <w:sz w:val="20"/>
                      <w:u w:val="single"/>
                      <w:lang w:val="en-GB" w:eastAsia="en-US"/>
                    </w:rPr>
                    <w:t xml:space="preserve">IAB node MT part does not perform </w:t>
                  </w:r>
                  <m:oMath>
                    <m:sSub>
                      <m:sSubPr>
                        <m:ctrlPr>
                          <w:rPr>
                            <w:rFonts w:ascii="Cambria Math" w:eastAsia="DengXian" w:hAnsi="Cambria Math"/>
                            <w:color w:val="FF0000"/>
                            <w:kern w:val="0"/>
                            <w:sz w:val="20"/>
                            <w:u w:val="single"/>
                            <w:lang w:val="en-GB" w:eastAsia="en-US"/>
                          </w:rPr>
                        </m:ctrlPr>
                      </m:sSubPr>
                      <m:e>
                        <m:r>
                          <m:rPr>
                            <m:sty m:val="p"/>
                          </m:rPr>
                          <w:rPr>
                            <w:rFonts w:ascii="Cambria Math" w:eastAsia="DengXian" w:hAnsi="Cambria Math"/>
                            <w:color w:val="FF0000"/>
                            <w:kern w:val="0"/>
                            <w:sz w:val="20"/>
                            <w:u w:val="single"/>
                            <w:lang w:val="en-GB" w:eastAsia="en-US"/>
                          </w:rPr>
                          <m:t>N</m:t>
                        </m:r>
                      </m:e>
                      <m:sub>
                        <m:r>
                          <m:rPr>
                            <m:nor/>
                          </m:rPr>
                          <w:rPr>
                            <w:rFonts w:eastAsia="DengXian"/>
                            <w:color w:val="FF0000"/>
                            <w:kern w:val="0"/>
                            <w:sz w:val="20"/>
                            <w:u w:val="single"/>
                            <w:lang w:val="en-GB" w:eastAsia="en-US"/>
                          </w:rPr>
                          <m:t>TA</m:t>
                        </m:r>
                        <m:r>
                          <m:rPr>
                            <m:nor/>
                          </m:rPr>
                          <w:rPr>
                            <w:rFonts w:ascii="Cambria Math" w:eastAsia="DengXian"/>
                            <w:color w:val="FF0000"/>
                            <w:kern w:val="0"/>
                            <w:sz w:val="20"/>
                            <w:u w:val="single"/>
                            <w:lang w:val="en-GB" w:eastAsia="en-US"/>
                          </w:rPr>
                          <m:t>,new</m:t>
                        </m:r>
                      </m:sub>
                    </m:sSub>
                  </m:oMath>
                  <w:r w:rsidRPr="00AD627A">
                    <w:rPr>
                      <w:bCs/>
                      <w:iCs/>
                      <w:color w:val="FF0000"/>
                      <w:kern w:val="0"/>
                      <w:sz w:val="20"/>
                      <w:u w:val="single"/>
                      <w:lang w:val="en-GB" w:eastAsia="en-US"/>
                    </w:rPr>
                    <w:t xml:space="preserve"> rounding defined in Clause 4.2 on the uplink associated with the serving cell </w:t>
                  </w:r>
                  <w:r w:rsidR="00AD627A">
                    <w:rPr>
                      <w:bCs/>
                      <w:iCs/>
                      <w:color w:val="FF0000"/>
                      <w:kern w:val="0"/>
                      <w:sz w:val="20"/>
                      <w:u w:val="single"/>
                      <w:lang w:val="en-GB" w:eastAsia="en-US"/>
                    </w:rPr>
                    <w:t>that provides</w:t>
                  </w:r>
                  <w:r w:rsidRPr="00AD627A">
                    <w:rPr>
                      <w:bCs/>
                      <w:iCs/>
                      <w:color w:val="FF0000"/>
                      <w:kern w:val="0"/>
                      <w:sz w:val="20"/>
                      <w:u w:val="single"/>
                      <w:lang w:val="en-GB" w:eastAsia="en-US"/>
                    </w:rPr>
                    <w:t xml:space="preserve"> </w:t>
                  </w:r>
                  <m:oMath>
                    <m:sSub>
                      <m:sSubPr>
                        <m:ctrlPr>
                          <w:rPr>
                            <w:rFonts w:ascii="Cambria Math" w:eastAsia="DengXian" w:hAnsi="Cambria Math"/>
                            <w:color w:val="FF0000"/>
                            <w:kern w:val="0"/>
                            <w:sz w:val="20"/>
                            <w:u w:val="single"/>
                            <w:lang w:val="en-GB" w:eastAsia="en-US"/>
                          </w:rPr>
                        </m:ctrlPr>
                      </m:sSubPr>
                      <m:e>
                        <m:r>
                          <m:rPr>
                            <m:sty m:val="p"/>
                          </m:rPr>
                          <w:rPr>
                            <w:rFonts w:ascii="Cambria Math" w:eastAsia="DengXian" w:hAnsi="Cambria Math"/>
                            <w:color w:val="FF0000"/>
                            <w:kern w:val="0"/>
                            <w:sz w:val="20"/>
                            <w:u w:val="single"/>
                            <w:lang w:val="en-GB" w:eastAsia="en-US"/>
                          </w:rPr>
                          <m:t>T</m:t>
                        </m:r>
                      </m:e>
                      <m:sub>
                        <m:r>
                          <m:rPr>
                            <m:nor/>
                          </m:rPr>
                          <w:rPr>
                            <w:rFonts w:eastAsia="DengXian"/>
                            <w:color w:val="FF0000"/>
                            <w:kern w:val="0"/>
                            <w:sz w:val="20"/>
                            <w:u w:val="single"/>
                            <w:lang w:val="en-GB" w:eastAsia="en-US"/>
                          </w:rPr>
                          <m:t>delta</m:t>
                        </m:r>
                      </m:sub>
                    </m:sSub>
                  </m:oMath>
                  <w:r w:rsidRPr="00AD627A">
                    <w:rPr>
                      <w:kern w:val="0"/>
                      <w:sz w:val="20"/>
                      <w:u w:val="single"/>
                      <w:lang w:val="en-GB" w:eastAsia="en-US"/>
                    </w:rPr>
                    <w:t>.</w:t>
                  </w:r>
                  <w:r>
                    <w:rPr>
                      <w:bCs/>
                      <w:iCs/>
                      <w:kern w:val="0"/>
                      <w:sz w:val="20"/>
                      <w:lang w:val="en-GB" w:eastAsia="en-US"/>
                    </w:rPr>
                    <w:t xml:space="preserve"> </w:t>
                  </w:r>
                </w:p>
                <w:p w:rsidR="00543B79" w:rsidRDefault="00543B79" w:rsidP="00C75F26">
                  <w:pPr>
                    <w:spacing w:before="120" w:after="120"/>
                    <w:rPr>
                      <w:rFonts w:eastAsia="Times New Roman"/>
                      <w:color w:val="000000"/>
                      <w:kern w:val="0"/>
                      <w:sz w:val="20"/>
                    </w:rPr>
                  </w:pPr>
                  <w:r w:rsidRPr="00C75F26">
                    <w:rPr>
                      <w:rFonts w:eastAsia="Times New Roman"/>
                      <w:color w:val="000000"/>
                      <w:kern w:val="0"/>
                      <w:sz w:val="20"/>
                    </w:rPr>
                    <w:t>The IAB-node may use the time difference to determine a DU transmission time.</w:t>
                  </w:r>
                </w:p>
                <w:p w:rsidR="00543B79" w:rsidRPr="00AD627A" w:rsidRDefault="00DA464A" w:rsidP="00C75F26">
                  <w:pPr>
                    <w:spacing w:before="120" w:after="120"/>
                    <w:rPr>
                      <w:b/>
                      <w:i/>
                      <w:color w:val="FF0000"/>
                      <w:sz w:val="20"/>
                      <w:u w:val="single"/>
                    </w:rPr>
                  </w:pPr>
                  <m:oMath>
                    <m:sSub>
                      <m:sSubPr>
                        <m:ctrlPr>
                          <w:rPr>
                            <w:rFonts w:ascii="Cambria Math" w:eastAsia="DengXian" w:hAnsi="Cambria Math"/>
                            <w:color w:val="FF0000"/>
                            <w:kern w:val="0"/>
                            <w:sz w:val="20"/>
                            <w:u w:val="single"/>
                            <w:lang w:val="en-GB" w:eastAsia="en-US"/>
                          </w:rPr>
                        </m:ctrlPr>
                      </m:sSubPr>
                      <m:e>
                        <m:r>
                          <m:rPr>
                            <m:sty m:val="p"/>
                          </m:rPr>
                          <w:rPr>
                            <w:rFonts w:ascii="Cambria Math" w:eastAsia="DengXian" w:hAnsi="Cambria Math"/>
                            <w:color w:val="FF0000"/>
                            <w:kern w:val="0"/>
                            <w:sz w:val="20"/>
                            <w:u w:val="single"/>
                            <w:lang w:val="en-GB" w:eastAsia="en-US"/>
                          </w:rPr>
                          <m:t>T</m:t>
                        </m:r>
                      </m:e>
                      <m:sub>
                        <m:r>
                          <m:rPr>
                            <m:nor/>
                          </m:rPr>
                          <w:rPr>
                            <w:rFonts w:eastAsia="DengXian"/>
                            <w:color w:val="FF0000"/>
                            <w:kern w:val="0"/>
                            <w:sz w:val="20"/>
                            <w:u w:val="single"/>
                            <w:lang w:val="en-GB" w:eastAsia="en-US"/>
                          </w:rPr>
                          <m:t>delta</m:t>
                        </m:r>
                      </m:sub>
                    </m:sSub>
                  </m:oMath>
                  <w:r w:rsidR="00543B79" w:rsidRPr="00AD627A">
                    <w:rPr>
                      <w:color w:val="FF0000"/>
                      <w:kern w:val="0"/>
                      <w:sz w:val="20"/>
                      <w:u w:val="single"/>
                      <w:lang w:val="en-GB" w:eastAsia="en-US"/>
                    </w:rPr>
                    <w:t xml:space="preserve"> is provided by an index </w:t>
                  </w:r>
                  <m:oMath>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Tdelta</m:t>
                        </m:r>
                      </m:sub>
                    </m:sSub>
                  </m:oMath>
                  <w:r w:rsidR="00543B79" w:rsidRPr="00AD627A">
                    <w:rPr>
                      <w:color w:val="FF0000"/>
                      <w:sz w:val="20"/>
                      <w:u w:val="single"/>
                    </w:rPr>
                    <w:t xml:space="preserve"> in Timing Delta MAC control element [ref to Clause 6.1.3, TS38.321], where </w:t>
                  </w:r>
                  <m:oMath>
                    <m:r>
                      <w:rPr>
                        <w:rFonts w:ascii="Cambria Math" w:hAnsi="Cambria Math"/>
                        <w:color w:val="FF0000"/>
                        <w:sz w:val="20"/>
                        <w:u w:val="single"/>
                      </w:rPr>
                      <m:t>0≤</m:t>
                    </m:r>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Tdelta</m:t>
                        </m:r>
                      </m:sub>
                    </m:sSub>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max</m:t>
                        </m:r>
                      </m:sub>
                    </m:sSub>
                  </m:oMath>
                  <w:r w:rsidR="00543B79" w:rsidRPr="00AD627A">
                    <w:rPr>
                      <w:color w:val="FF0000"/>
                      <w:sz w:val="20"/>
                      <w:u w:val="single"/>
                    </w:rPr>
                    <w:t xml:space="preserve">, and the </w:t>
                  </w:r>
                  <m:oMath>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Tdelta</m:t>
                        </m:r>
                      </m:sub>
                    </m:sSub>
                  </m:oMath>
                  <w:r w:rsidR="00AA03EB" w:rsidRPr="00AD627A">
                    <w:rPr>
                      <w:color w:val="FF0000"/>
                      <w:sz w:val="20"/>
                      <w:u w:val="single"/>
                    </w:rPr>
                    <w:t xml:space="preserve"> represents</w:t>
                  </w:r>
                  <w:bookmarkStart w:id="6" w:name="_GoBack"/>
                  <w:bookmarkEnd w:id="6"/>
                  <w:r w:rsidR="00543B79" w:rsidRPr="00AD627A">
                    <w:rPr>
                      <w:color w:val="FF0000"/>
                      <w:sz w:val="20"/>
                      <w:u w:val="single"/>
                    </w:rPr>
                    <w:t xml:space="preserve"> </w:t>
                  </w:r>
                  <m:oMath>
                    <m:sSub>
                      <m:sSubPr>
                        <m:ctrlPr>
                          <w:rPr>
                            <w:rFonts w:ascii="Cambria Math" w:eastAsia="DengXian" w:hAnsi="Cambria Math"/>
                            <w:i/>
                            <w:color w:val="FF0000"/>
                            <w:kern w:val="0"/>
                            <w:sz w:val="20"/>
                            <w:u w:val="single"/>
                            <w:lang w:val="en-GB" w:eastAsia="en-US"/>
                          </w:rPr>
                        </m:ctrlPr>
                      </m:sSubPr>
                      <m:e>
                        <m:r>
                          <w:rPr>
                            <w:rFonts w:ascii="Cambria Math" w:eastAsia="DengXian" w:hAnsi="Cambria Math"/>
                            <w:color w:val="FF0000"/>
                            <w:kern w:val="0"/>
                            <w:sz w:val="20"/>
                            <w:u w:val="single"/>
                            <w:lang w:val="en-GB" w:eastAsia="en-US"/>
                          </w:rPr>
                          <m:t>T</m:t>
                        </m:r>
                      </m:e>
                      <m:sub>
                        <m:r>
                          <m:rPr>
                            <m:nor/>
                          </m:rPr>
                          <w:rPr>
                            <w:rFonts w:eastAsia="DengXian"/>
                            <w:i/>
                            <w:color w:val="FF0000"/>
                            <w:kern w:val="0"/>
                            <w:sz w:val="20"/>
                            <w:u w:val="single"/>
                            <w:lang w:val="en-GB" w:eastAsia="en-US"/>
                          </w:rPr>
                          <m:t>delta</m:t>
                        </m:r>
                      </m:sub>
                    </m:sSub>
                  </m:oMath>
                  <w:r w:rsidR="00543B79" w:rsidRPr="00AD627A">
                    <w:rPr>
                      <w:color w:val="FF0000"/>
                      <w:kern w:val="0"/>
                      <w:sz w:val="20"/>
                      <w:u w:val="single"/>
                      <w:lang w:val="en-GB" w:eastAsia="en-US"/>
                    </w:rPr>
                    <w:t xml:space="preserve"> </w:t>
                  </w:r>
                  <w:r w:rsidR="00543B79" w:rsidRPr="00AD627A">
                    <w:rPr>
                      <w:color w:val="FF0000"/>
                      <w:sz w:val="20"/>
                      <w:u w:val="single"/>
                    </w:rPr>
                    <w:t xml:space="preserve">value </w:t>
                  </w:r>
                  <w:r w:rsidR="00543B79" w:rsidRPr="00AD627A">
                    <w:rPr>
                      <w:i/>
                      <w:color w:val="FF0000"/>
                      <w:sz w:val="20"/>
                      <w:u w:val="single"/>
                    </w:rPr>
                    <w:t>x</w:t>
                  </w:r>
                  <w:r w:rsidR="00543B79" w:rsidRPr="00AD627A">
                    <w:rPr>
                      <w:color w:val="FF0000"/>
                      <w:sz w:val="20"/>
                      <w:u w:val="single"/>
                    </w:rPr>
                    <w:t xml:space="preserve"> satisfying </w:t>
                  </w:r>
                  <m:oMath>
                    <m:sSub>
                      <m:sSubPr>
                        <m:ctrlPr>
                          <w:rPr>
                            <w:rFonts w:ascii="Cambria Math" w:hAnsi="Cambria Math"/>
                            <w:i/>
                            <w:color w:val="FF0000"/>
                            <w:sz w:val="20"/>
                            <w:u w:val="single"/>
                          </w:rPr>
                        </m:ctrlPr>
                      </m:sSubPr>
                      <m:e>
                        <m:r>
                          <w:rPr>
                            <w:rFonts w:ascii="Cambria Math" w:hAnsi="Cambria Math"/>
                            <w:color w:val="FF0000"/>
                            <w:sz w:val="20"/>
                            <w:u w:val="single"/>
                          </w:rPr>
                          <m:t>T</m:t>
                        </m:r>
                      </m:e>
                      <m:sub>
                        <m:r>
                          <w:rPr>
                            <w:rFonts w:ascii="Cambria Math" w:hAnsi="Cambria Math"/>
                            <w:color w:val="FF0000"/>
                            <w:sz w:val="20"/>
                            <w:u w:val="single"/>
                          </w:rPr>
                          <m:t>d,min</m:t>
                        </m:r>
                      </m:sub>
                    </m:sSub>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Tdelta</m:t>
                        </m:r>
                      </m:sub>
                    </m:sSub>
                    <m:r>
                      <w:rPr>
                        <w:rFonts w:ascii="Cambria Math" w:hAnsi="Cambria Math"/>
                        <w:color w:val="FF0000"/>
                        <w:sz w:val="20"/>
                        <w:u w:val="single"/>
                      </w:rPr>
                      <m:t>∙∆≤x+</m:t>
                    </m:r>
                    <m:f>
                      <m:fPr>
                        <m:type m:val="lin"/>
                        <m:ctrlPr>
                          <w:rPr>
                            <w:rFonts w:ascii="Cambria Math" w:hAnsi="Cambria Math"/>
                            <w:i/>
                            <w:color w:val="FF0000"/>
                            <w:sz w:val="20"/>
                            <w:u w:val="single"/>
                          </w:rPr>
                        </m:ctrlPr>
                      </m:fPr>
                      <m:num>
                        <m:sSub>
                          <m:sSubPr>
                            <m:ctrlPr>
                              <w:rPr>
                                <w:rFonts w:ascii="Cambria Math" w:hAnsi="Cambria Math"/>
                                <w:i/>
                                <w:color w:val="FF0000"/>
                                <w:sz w:val="20"/>
                                <w:u w:val="single"/>
                              </w:rPr>
                            </m:ctrlPr>
                          </m:sSubPr>
                          <m:e>
                            <m:r>
                              <w:rPr>
                                <w:rFonts w:ascii="Cambria Math" w:hAnsi="Cambria Math"/>
                                <w:color w:val="FF0000"/>
                                <w:sz w:val="20"/>
                                <w:u w:val="single"/>
                              </w:rPr>
                              <m:t>N</m:t>
                            </m:r>
                          </m:e>
                          <m:sub>
                            <m:r>
                              <w:rPr>
                                <w:rFonts w:ascii="Cambria Math" w:hAnsi="Cambria Math"/>
                                <w:color w:val="FF0000"/>
                                <w:sz w:val="20"/>
                                <w:u w:val="single"/>
                              </w:rPr>
                              <m:t>TA,offset</m:t>
                            </m:r>
                          </m:sub>
                        </m:sSub>
                      </m:num>
                      <m:den>
                        <m:r>
                          <w:rPr>
                            <w:rFonts w:ascii="Cambria Math" w:hAnsi="Cambria Math"/>
                            <w:color w:val="FF0000"/>
                            <w:sz w:val="20"/>
                            <w:u w:val="single"/>
                          </w:rPr>
                          <m:t>2</m:t>
                        </m:r>
                      </m:den>
                    </m:f>
                    <m:r>
                      <w:rPr>
                        <w:rFonts w:ascii="Cambria Math" w:hAnsi="Cambria Math"/>
                        <w:color w:val="FF0000"/>
                        <w:sz w:val="20"/>
                        <w:u w:val="single"/>
                      </w:rPr>
                      <m:t>&lt;</m:t>
                    </m:r>
                    <m:sSub>
                      <m:sSubPr>
                        <m:ctrlPr>
                          <w:rPr>
                            <w:rFonts w:ascii="Cambria Math" w:hAnsi="Cambria Math"/>
                            <w:i/>
                            <w:color w:val="FF0000"/>
                            <w:sz w:val="20"/>
                            <w:u w:val="single"/>
                          </w:rPr>
                        </m:ctrlPr>
                      </m:sSubPr>
                      <m:e>
                        <m:r>
                          <w:rPr>
                            <w:rFonts w:ascii="Cambria Math" w:hAnsi="Cambria Math"/>
                            <w:color w:val="FF0000"/>
                            <w:sz w:val="20"/>
                            <w:u w:val="single"/>
                          </w:rPr>
                          <m:t>T</m:t>
                        </m:r>
                      </m:e>
                      <m:sub>
                        <m:r>
                          <w:rPr>
                            <w:rFonts w:ascii="Cambria Math" w:hAnsi="Cambria Math"/>
                            <w:color w:val="FF0000"/>
                            <w:sz w:val="20"/>
                            <w:u w:val="single"/>
                          </w:rPr>
                          <m:t>d,min</m:t>
                        </m:r>
                      </m:sub>
                    </m:sSub>
                    <m:r>
                      <w:rPr>
                        <w:rFonts w:ascii="Cambria Math" w:hAnsi="Cambria Math"/>
                        <w:color w:val="FF0000"/>
                        <w:sz w:val="20"/>
                        <w:u w:val="single"/>
                      </w:rPr>
                      <m:t>+</m:t>
                    </m:r>
                    <m:d>
                      <m:dPr>
                        <m:ctrlPr>
                          <w:rPr>
                            <w:rFonts w:ascii="Cambria Math" w:hAnsi="Cambria Math"/>
                            <w:i/>
                            <w:color w:val="FF0000"/>
                            <w:sz w:val="20"/>
                            <w:u w:val="single"/>
                          </w:rPr>
                        </m:ctrlPr>
                      </m:dPr>
                      <m:e>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Tdelta</m:t>
                            </m:r>
                          </m:sub>
                        </m:sSub>
                        <m:r>
                          <w:rPr>
                            <w:rFonts w:ascii="Cambria Math" w:hAnsi="Cambria Math"/>
                            <w:color w:val="FF0000"/>
                            <w:sz w:val="20"/>
                            <w:u w:val="single"/>
                          </w:rPr>
                          <m:t>+1</m:t>
                        </m:r>
                      </m:e>
                    </m:d>
                    <m:r>
                      <w:rPr>
                        <w:rFonts w:ascii="Cambria Math" w:hAnsi="Cambria Math"/>
                        <w:color w:val="FF0000"/>
                        <w:sz w:val="20"/>
                        <w:u w:val="single"/>
                      </w:rPr>
                      <m:t>∙∆</m:t>
                    </m:r>
                  </m:oMath>
                  <w:r w:rsidR="00543B79" w:rsidRPr="00AD627A">
                    <w:rPr>
                      <w:color w:val="FF0000"/>
                      <w:sz w:val="20"/>
                      <w:u w:val="single"/>
                    </w:rPr>
                    <w:t xml:space="preserve"> in unit of </w:t>
                  </w:r>
                  <w:r w:rsidR="00543B79" w:rsidRPr="00AD627A">
                    <w:rPr>
                      <w:i/>
                      <w:color w:val="FF0000"/>
                      <w:sz w:val="20"/>
                      <w:u w:val="single"/>
                    </w:rPr>
                    <w:t>Tc</w:t>
                  </w:r>
                  <w:r w:rsidR="00543B79" w:rsidRPr="00AD627A">
                    <w:rPr>
                      <w:color w:val="FF0000"/>
                      <w:sz w:val="20"/>
                      <w:u w:val="single"/>
                    </w:rPr>
                    <w:t>.</w:t>
                  </w:r>
                  <m:oMath>
                    <m:r>
                      <m:rPr>
                        <m:sty m:val="p"/>
                      </m:rPr>
                      <w:rPr>
                        <w:rFonts w:ascii="Cambria Math" w:hAnsi="Cambria Math"/>
                        <w:color w:val="FF0000"/>
                        <w:sz w:val="20"/>
                        <w:u w:val="single"/>
                      </w:rPr>
                      <m:t xml:space="preserve"> </m:t>
                    </m:r>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max</m:t>
                        </m:r>
                      </m:sub>
                    </m:sSub>
                  </m:oMath>
                  <w:r w:rsidR="00543B79" w:rsidRPr="00AD627A">
                    <w:rPr>
                      <w:color w:val="FF0000"/>
                      <w:sz w:val="20"/>
                      <w:u w:val="single"/>
                    </w:rPr>
                    <w:t>,</w:t>
                  </w:r>
                  <m:oMath>
                    <m:r>
                      <m:rPr>
                        <m:sty m:val="p"/>
                      </m:rPr>
                      <w:rPr>
                        <w:rFonts w:ascii="Cambria Math" w:hAnsi="Cambria Math"/>
                        <w:color w:val="FF0000"/>
                        <w:sz w:val="20"/>
                        <w:u w:val="single"/>
                      </w:rPr>
                      <m:t xml:space="preserve"> </m:t>
                    </m:r>
                    <m:sSub>
                      <m:sSubPr>
                        <m:ctrlPr>
                          <w:rPr>
                            <w:rFonts w:ascii="Cambria Math" w:hAnsi="Cambria Math"/>
                            <w:i/>
                            <w:color w:val="FF0000"/>
                            <w:sz w:val="20"/>
                            <w:u w:val="single"/>
                          </w:rPr>
                        </m:ctrlPr>
                      </m:sSubPr>
                      <m:e>
                        <m:r>
                          <w:rPr>
                            <w:rFonts w:ascii="Cambria Math" w:hAnsi="Cambria Math"/>
                            <w:color w:val="FF0000"/>
                            <w:sz w:val="20"/>
                            <w:u w:val="single"/>
                          </w:rPr>
                          <m:t>T</m:t>
                        </m:r>
                      </m:e>
                      <m:sub>
                        <m:r>
                          <w:rPr>
                            <w:rFonts w:ascii="Cambria Math" w:hAnsi="Cambria Math"/>
                            <w:color w:val="FF0000"/>
                            <w:sz w:val="20"/>
                            <w:u w:val="single"/>
                          </w:rPr>
                          <m:t>d,min</m:t>
                        </m:r>
                      </m:sub>
                    </m:sSub>
                  </m:oMath>
                  <w:r w:rsidR="00543B79" w:rsidRPr="00AD627A">
                    <w:rPr>
                      <w:color w:val="FF0000"/>
                      <w:sz w:val="20"/>
                      <w:u w:val="single"/>
                    </w:rPr>
                    <w:t xml:space="preserve"> and </w:t>
                  </w:r>
                  <m:oMath>
                    <m:r>
                      <w:rPr>
                        <w:rFonts w:ascii="Cambria Math" w:hAnsi="Cambria Math"/>
                        <w:color w:val="FF0000"/>
                        <w:sz w:val="20"/>
                        <w:u w:val="single"/>
                      </w:rPr>
                      <m:t>∆</m:t>
                    </m:r>
                  </m:oMath>
                  <w:r w:rsidR="00543B79" w:rsidRPr="00AD627A">
                    <w:rPr>
                      <w:color w:val="FF0000"/>
                      <w:sz w:val="20"/>
                      <w:u w:val="single"/>
                    </w:rPr>
                    <w:t xml:space="preserve"> are given by </w:t>
                  </w:r>
                  <w:r w:rsidR="00630F5B" w:rsidRPr="00AD627A">
                    <w:rPr>
                      <w:color w:val="FF0000"/>
                      <w:sz w:val="20"/>
                      <w:u w:val="single"/>
                    </w:rPr>
                    <w:t>[pick one option]</w:t>
                  </w:r>
                </w:p>
                <w:p w:rsidR="00543B79" w:rsidRPr="00AD627A" w:rsidRDefault="00543B79" w:rsidP="00543B79">
                  <w:pPr>
                    <w:pStyle w:val="ListParagraph"/>
                    <w:numPr>
                      <w:ilvl w:val="0"/>
                      <w:numId w:val="17"/>
                    </w:numPr>
                    <w:spacing w:before="120" w:after="120"/>
                    <w:rPr>
                      <w:i/>
                      <w:color w:val="FF0000"/>
                      <w:sz w:val="20"/>
                      <w:szCs w:val="20"/>
                      <w:u w:val="single"/>
                    </w:rPr>
                  </w:pPr>
                  <w:r w:rsidRPr="00AD627A">
                    <w:rPr>
                      <w:i/>
                      <w:color w:val="FF0000"/>
                      <w:sz w:val="20"/>
                      <w:szCs w:val="20"/>
                      <w:u w:val="single"/>
                    </w:rPr>
                    <w:t xml:space="preserve">Option 1: </w:t>
                  </w:r>
                  <m:oMath>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max</m:t>
                        </m:r>
                      </m:sub>
                    </m:sSub>
                    <m:r>
                      <w:rPr>
                        <w:rFonts w:ascii="Cambria Math" w:hAnsi="Cambria Math"/>
                        <w:color w:val="FF0000"/>
                        <w:sz w:val="20"/>
                        <w:u w:val="single"/>
                      </w:rPr>
                      <m:t>=2399</m:t>
                    </m:r>
                  </m:oMath>
                  <w:r w:rsidRPr="00AD627A">
                    <w:rPr>
                      <w:i/>
                      <w:color w:val="FF0000"/>
                      <w:sz w:val="20"/>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u w:val="single"/>
                          </w:rPr>
                          <m:t>T</m:t>
                        </m:r>
                      </m:e>
                      <m:sub>
                        <m:r>
                          <w:rPr>
                            <w:rFonts w:ascii="Cambria Math" w:hAnsi="Cambria Math"/>
                            <w:color w:val="FF0000"/>
                            <w:sz w:val="20"/>
                            <w:u w:val="single"/>
                          </w:rPr>
                          <m:t>d,min</m:t>
                        </m:r>
                      </m:sub>
                    </m:sSub>
                    <m:r>
                      <w:rPr>
                        <w:rFonts w:ascii="Cambria Math" w:hAnsi="Cambria Math"/>
                        <w:color w:val="FF0000"/>
                        <w:sz w:val="20"/>
                        <w:u w:val="single"/>
                      </w:rPr>
                      <m:t>=-70528</m:t>
                    </m:r>
                  </m:oMath>
                  <w:r w:rsidRPr="00AD627A">
                    <w:rPr>
                      <w:color w:val="FF0000"/>
                      <w:sz w:val="20"/>
                      <w:u w:val="single"/>
                    </w:rPr>
                    <w:t xml:space="preserve">, </w:t>
                  </w:r>
                  <m:oMath>
                    <m:r>
                      <w:rPr>
                        <w:rFonts w:ascii="Cambria Math" w:hAnsi="Cambria Math"/>
                        <w:color w:val="FF0000"/>
                        <w:sz w:val="20"/>
                        <w:u w:val="single"/>
                      </w:rPr>
                      <m:t>∆=32</m:t>
                    </m:r>
                  </m:oMath>
                </w:p>
                <w:p w:rsidR="00543B79" w:rsidRPr="00AD627A" w:rsidRDefault="00543B79" w:rsidP="00543B79">
                  <w:pPr>
                    <w:pStyle w:val="ListParagraph"/>
                    <w:numPr>
                      <w:ilvl w:val="0"/>
                      <w:numId w:val="17"/>
                    </w:numPr>
                    <w:spacing w:before="120" w:after="120"/>
                    <w:rPr>
                      <w:i/>
                      <w:color w:val="FF0000"/>
                      <w:sz w:val="20"/>
                      <w:szCs w:val="20"/>
                      <w:u w:val="single"/>
                    </w:rPr>
                  </w:pPr>
                  <w:r w:rsidRPr="00AD627A">
                    <w:rPr>
                      <w:i/>
                      <w:color w:val="FF0000"/>
                      <w:sz w:val="20"/>
                      <w:szCs w:val="20"/>
                      <w:u w:val="single"/>
                    </w:rPr>
                    <w:t>Option 2:</w:t>
                  </w:r>
                </w:p>
                <w:tbl>
                  <w:tblPr>
                    <w:tblStyle w:val="TableGrid"/>
                    <w:tblW w:w="0" w:type="auto"/>
                    <w:jc w:val="center"/>
                    <w:tblLook w:val="04A0"/>
                  </w:tblPr>
                  <w:tblGrid>
                    <w:gridCol w:w="3244"/>
                    <w:gridCol w:w="602"/>
                    <w:gridCol w:w="783"/>
                    <w:gridCol w:w="416"/>
                  </w:tblGrid>
                  <w:tr w:rsidR="00543B79" w:rsidRPr="00AD627A" w:rsidTr="00543B79">
                    <w:trPr>
                      <w:jc w:val="center"/>
                    </w:trPr>
                    <w:tc>
                      <w:tcPr>
                        <w:tcW w:w="0" w:type="auto"/>
                        <w:vAlign w:val="center"/>
                      </w:tcPr>
                      <w:p w:rsidR="00543B79" w:rsidRPr="00AD627A" w:rsidRDefault="00543B79" w:rsidP="00543B79">
                        <w:pPr>
                          <w:spacing w:before="120" w:after="120"/>
                          <w:jc w:val="center"/>
                          <w:rPr>
                            <w:i/>
                            <w:color w:val="FF0000"/>
                            <w:sz w:val="20"/>
                            <w:u w:val="single"/>
                          </w:rPr>
                        </w:pPr>
                        <w:r w:rsidRPr="00AD627A">
                          <w:rPr>
                            <w:i/>
                            <w:color w:val="FF0000"/>
                            <w:sz w:val="20"/>
                            <w:u w:val="single"/>
                          </w:rPr>
                          <w:t>FR for serving cell indicating T_delta</w:t>
                        </w:r>
                      </w:p>
                    </w:tc>
                    <w:tc>
                      <w:tcPr>
                        <w:tcW w:w="0" w:type="auto"/>
                        <w:vAlign w:val="center"/>
                      </w:tcPr>
                      <w:p w:rsidR="00543B79" w:rsidRPr="00AD627A" w:rsidRDefault="00DA464A" w:rsidP="00543B79">
                        <w:pPr>
                          <w:spacing w:before="120" w:after="120"/>
                          <w:jc w:val="center"/>
                          <w:rPr>
                            <w:i/>
                            <w:color w:val="FF0000"/>
                            <w:sz w:val="20"/>
                            <w:u w:val="single"/>
                          </w:rPr>
                        </w:pPr>
                        <m:oMathPara>
                          <m:oMath>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max</m:t>
                                </m:r>
                              </m:sub>
                            </m:sSub>
                          </m:oMath>
                        </m:oMathPara>
                      </w:p>
                    </w:tc>
                    <w:tc>
                      <w:tcPr>
                        <w:tcW w:w="0" w:type="auto"/>
                        <w:vAlign w:val="center"/>
                      </w:tcPr>
                      <w:p w:rsidR="00543B79" w:rsidRPr="00AD627A" w:rsidRDefault="00DA464A" w:rsidP="00543B79">
                        <w:pPr>
                          <w:spacing w:before="120" w:after="120"/>
                          <w:jc w:val="center"/>
                          <w:rPr>
                            <w:i/>
                            <w:color w:val="FF0000"/>
                            <w:sz w:val="20"/>
                            <w:u w:val="single"/>
                          </w:rPr>
                        </w:pPr>
                        <m:oMathPara>
                          <m:oMath>
                            <m:sSub>
                              <m:sSubPr>
                                <m:ctrlPr>
                                  <w:rPr>
                                    <w:rFonts w:ascii="Cambria Math" w:hAnsi="Cambria Math"/>
                                    <w:i/>
                                    <w:color w:val="FF0000"/>
                                    <w:sz w:val="20"/>
                                    <w:u w:val="single"/>
                                  </w:rPr>
                                </m:ctrlPr>
                              </m:sSubPr>
                              <m:e>
                                <m:r>
                                  <w:rPr>
                                    <w:rFonts w:ascii="Cambria Math" w:hAnsi="Cambria Math"/>
                                    <w:color w:val="FF0000"/>
                                    <w:sz w:val="20"/>
                                    <w:u w:val="single"/>
                                  </w:rPr>
                                  <m:t>T</m:t>
                                </m:r>
                              </m:e>
                              <m:sub>
                                <m:r>
                                  <w:rPr>
                                    <w:rFonts w:ascii="Cambria Math" w:hAnsi="Cambria Math"/>
                                    <w:color w:val="FF0000"/>
                                    <w:sz w:val="20"/>
                                    <w:u w:val="single"/>
                                  </w:rPr>
                                  <m:t>d,min</m:t>
                                </m:r>
                              </m:sub>
                            </m:sSub>
                          </m:oMath>
                        </m:oMathPara>
                      </w:p>
                    </w:tc>
                    <w:tc>
                      <w:tcPr>
                        <w:tcW w:w="0" w:type="auto"/>
                        <w:vAlign w:val="center"/>
                      </w:tcPr>
                      <w:p w:rsidR="00543B79" w:rsidRPr="00AD627A" w:rsidRDefault="00630F5B" w:rsidP="00543B79">
                        <w:pPr>
                          <w:spacing w:before="120" w:after="120"/>
                          <w:jc w:val="center"/>
                          <w:rPr>
                            <w:i/>
                            <w:color w:val="FF0000"/>
                            <w:sz w:val="20"/>
                            <w:u w:val="single"/>
                          </w:rPr>
                        </w:pPr>
                        <m:oMathPara>
                          <m:oMath>
                            <m:r>
                              <w:rPr>
                                <w:rFonts w:ascii="Cambria Math" w:hAnsi="Cambria Math"/>
                                <w:color w:val="FF0000"/>
                                <w:sz w:val="20"/>
                                <w:u w:val="single"/>
                              </w:rPr>
                              <m:t>∆</m:t>
                            </m:r>
                          </m:oMath>
                        </m:oMathPara>
                      </w:p>
                    </w:tc>
                  </w:tr>
                  <w:tr w:rsidR="00543B79" w:rsidRPr="00AD627A" w:rsidTr="00543B79">
                    <w:trPr>
                      <w:jc w:val="center"/>
                    </w:trPr>
                    <w:tc>
                      <w:tcPr>
                        <w:tcW w:w="0" w:type="auto"/>
                        <w:vAlign w:val="center"/>
                      </w:tcPr>
                      <w:p w:rsidR="00543B79" w:rsidRPr="00AD627A" w:rsidRDefault="00543B79" w:rsidP="00543B79">
                        <w:pPr>
                          <w:spacing w:before="120" w:after="120"/>
                          <w:jc w:val="center"/>
                          <w:rPr>
                            <w:i/>
                            <w:color w:val="FF0000"/>
                            <w:sz w:val="20"/>
                            <w:u w:val="single"/>
                          </w:rPr>
                        </w:pPr>
                        <w:r w:rsidRPr="00AD627A">
                          <w:rPr>
                            <w:i/>
                            <w:color w:val="FF0000"/>
                            <w:sz w:val="20"/>
                            <w:u w:val="single"/>
                          </w:rPr>
                          <w:t>FR1</w:t>
                        </w:r>
                      </w:p>
                    </w:tc>
                    <w:tc>
                      <w:tcPr>
                        <w:tcW w:w="0" w:type="auto"/>
                        <w:vAlign w:val="center"/>
                      </w:tcPr>
                      <w:p w:rsidR="00543B79" w:rsidRPr="00AD627A" w:rsidRDefault="00543B79" w:rsidP="00543B79">
                        <w:pPr>
                          <w:spacing w:before="120" w:after="120"/>
                          <w:jc w:val="center"/>
                          <w:rPr>
                            <w:i/>
                            <w:color w:val="FF0000"/>
                            <w:sz w:val="20"/>
                            <w:u w:val="single"/>
                          </w:rPr>
                        </w:pPr>
                        <w:r w:rsidRPr="00AD627A">
                          <w:rPr>
                            <w:i/>
                            <w:color w:val="FF0000"/>
                            <w:sz w:val="20"/>
                            <w:u w:val="single"/>
                          </w:rPr>
                          <w:t>1199</w:t>
                        </w:r>
                      </w:p>
                    </w:tc>
                    <w:tc>
                      <w:tcPr>
                        <w:tcW w:w="0" w:type="auto"/>
                        <w:vAlign w:val="center"/>
                      </w:tcPr>
                      <w:p w:rsidR="00543B79" w:rsidRPr="00AD627A" w:rsidRDefault="00543B79" w:rsidP="00543B79">
                        <w:pPr>
                          <w:spacing w:before="120" w:after="120"/>
                          <w:jc w:val="center"/>
                          <w:rPr>
                            <w:i/>
                            <w:color w:val="FF0000"/>
                            <w:sz w:val="20"/>
                            <w:u w:val="single"/>
                          </w:rPr>
                        </w:pPr>
                        <w:r w:rsidRPr="00AD627A">
                          <w:rPr>
                            <w:i/>
                            <w:color w:val="FF0000"/>
                            <w:sz w:val="20"/>
                            <w:u w:val="single"/>
                          </w:rPr>
                          <w:t>-70528</w:t>
                        </w:r>
                      </w:p>
                    </w:tc>
                    <w:tc>
                      <w:tcPr>
                        <w:tcW w:w="0" w:type="auto"/>
                        <w:vAlign w:val="center"/>
                      </w:tcPr>
                      <w:p w:rsidR="00543B79" w:rsidRPr="00AD627A" w:rsidRDefault="00543B79" w:rsidP="00543B79">
                        <w:pPr>
                          <w:spacing w:before="120" w:after="120"/>
                          <w:jc w:val="center"/>
                          <w:rPr>
                            <w:i/>
                            <w:color w:val="FF0000"/>
                            <w:sz w:val="20"/>
                            <w:u w:val="single"/>
                          </w:rPr>
                        </w:pPr>
                        <w:r w:rsidRPr="00AD627A">
                          <w:rPr>
                            <w:i/>
                            <w:color w:val="FF0000"/>
                            <w:sz w:val="20"/>
                            <w:u w:val="single"/>
                          </w:rPr>
                          <w:t>64</w:t>
                        </w:r>
                      </w:p>
                    </w:tc>
                  </w:tr>
                  <w:tr w:rsidR="00543B79" w:rsidRPr="00AD627A" w:rsidTr="00543B79">
                    <w:trPr>
                      <w:jc w:val="center"/>
                    </w:trPr>
                    <w:tc>
                      <w:tcPr>
                        <w:tcW w:w="0" w:type="auto"/>
                        <w:vAlign w:val="center"/>
                      </w:tcPr>
                      <w:p w:rsidR="00543B79" w:rsidRPr="00AD627A" w:rsidRDefault="00543B79" w:rsidP="00543B79">
                        <w:pPr>
                          <w:spacing w:before="120" w:after="120"/>
                          <w:jc w:val="center"/>
                          <w:rPr>
                            <w:i/>
                            <w:color w:val="FF0000"/>
                            <w:sz w:val="20"/>
                            <w:u w:val="single"/>
                          </w:rPr>
                        </w:pPr>
                        <w:r w:rsidRPr="00AD627A">
                          <w:rPr>
                            <w:i/>
                            <w:color w:val="FF0000"/>
                            <w:sz w:val="20"/>
                            <w:u w:val="single"/>
                          </w:rPr>
                          <w:t>FR2</w:t>
                        </w:r>
                      </w:p>
                    </w:tc>
                    <w:tc>
                      <w:tcPr>
                        <w:tcW w:w="0" w:type="auto"/>
                        <w:vAlign w:val="center"/>
                      </w:tcPr>
                      <w:p w:rsidR="00543B79" w:rsidRPr="00AD627A" w:rsidRDefault="00543B79" w:rsidP="00543B79">
                        <w:pPr>
                          <w:spacing w:before="120" w:after="120"/>
                          <w:jc w:val="center"/>
                          <w:rPr>
                            <w:i/>
                            <w:color w:val="FF0000"/>
                            <w:sz w:val="20"/>
                            <w:u w:val="single"/>
                          </w:rPr>
                        </w:pPr>
                        <w:r w:rsidRPr="00AD627A">
                          <w:rPr>
                            <w:i/>
                            <w:color w:val="FF0000"/>
                            <w:sz w:val="20"/>
                            <w:u w:val="single"/>
                          </w:rPr>
                          <w:t>740</w:t>
                        </w:r>
                      </w:p>
                    </w:tc>
                    <w:tc>
                      <w:tcPr>
                        <w:tcW w:w="0" w:type="auto"/>
                        <w:vAlign w:val="center"/>
                      </w:tcPr>
                      <w:p w:rsidR="00543B79" w:rsidRPr="00AD627A" w:rsidRDefault="00543B79" w:rsidP="00543B79">
                        <w:pPr>
                          <w:spacing w:before="120" w:after="120"/>
                          <w:jc w:val="center"/>
                          <w:rPr>
                            <w:i/>
                            <w:color w:val="FF0000"/>
                            <w:sz w:val="20"/>
                            <w:u w:val="single"/>
                          </w:rPr>
                        </w:pPr>
                        <w:r w:rsidRPr="00AD627A">
                          <w:rPr>
                            <w:i/>
                            <w:color w:val="FF0000"/>
                            <w:sz w:val="20"/>
                            <w:u w:val="single"/>
                          </w:rPr>
                          <w:t>-17664</w:t>
                        </w:r>
                      </w:p>
                    </w:tc>
                    <w:tc>
                      <w:tcPr>
                        <w:tcW w:w="0" w:type="auto"/>
                        <w:vAlign w:val="center"/>
                      </w:tcPr>
                      <w:p w:rsidR="00543B79" w:rsidRPr="00AD627A" w:rsidRDefault="00543B79" w:rsidP="00543B79">
                        <w:pPr>
                          <w:spacing w:before="120" w:after="120"/>
                          <w:jc w:val="center"/>
                          <w:rPr>
                            <w:i/>
                            <w:color w:val="FF0000"/>
                            <w:sz w:val="20"/>
                            <w:u w:val="single"/>
                          </w:rPr>
                        </w:pPr>
                        <w:r w:rsidRPr="00AD627A">
                          <w:rPr>
                            <w:i/>
                            <w:color w:val="FF0000"/>
                            <w:sz w:val="20"/>
                            <w:u w:val="single"/>
                          </w:rPr>
                          <w:t>32</w:t>
                        </w:r>
                      </w:p>
                    </w:tc>
                  </w:tr>
                </w:tbl>
                <w:p w:rsidR="00543B79" w:rsidRPr="00AD627A" w:rsidRDefault="00543B79" w:rsidP="00543B79">
                  <w:pPr>
                    <w:pStyle w:val="ListParagraph"/>
                    <w:numPr>
                      <w:ilvl w:val="0"/>
                      <w:numId w:val="17"/>
                    </w:numPr>
                    <w:spacing w:before="120" w:after="120"/>
                    <w:rPr>
                      <w:i/>
                      <w:color w:val="FF0000"/>
                      <w:sz w:val="20"/>
                      <w:szCs w:val="20"/>
                      <w:u w:val="single"/>
                    </w:rPr>
                  </w:pPr>
                  <w:r w:rsidRPr="00AD627A">
                    <w:rPr>
                      <w:i/>
                      <w:color w:val="FF0000"/>
                      <w:sz w:val="20"/>
                      <w:szCs w:val="20"/>
                      <w:u w:val="single"/>
                    </w:rPr>
                    <w:t>Option 3:</w:t>
                  </w:r>
                </w:p>
                <w:tbl>
                  <w:tblPr>
                    <w:tblStyle w:val="TableGrid"/>
                    <w:tblW w:w="0" w:type="auto"/>
                    <w:jc w:val="center"/>
                    <w:tblLook w:val="04A0"/>
                  </w:tblPr>
                  <w:tblGrid>
                    <w:gridCol w:w="2046"/>
                    <w:gridCol w:w="616"/>
                    <w:gridCol w:w="783"/>
                    <w:gridCol w:w="416"/>
                  </w:tblGrid>
                  <w:tr w:rsidR="00630F5B" w:rsidRPr="00AD627A" w:rsidTr="00543B79">
                    <w:trPr>
                      <w:jc w:val="center"/>
                    </w:trPr>
                    <w:tc>
                      <w:tcPr>
                        <w:tcW w:w="0" w:type="auto"/>
                      </w:tcPr>
                      <w:p w:rsidR="00630F5B" w:rsidRPr="00AD627A" w:rsidRDefault="00DA464A" w:rsidP="00543B79">
                        <w:pPr>
                          <w:spacing w:before="120" w:after="120"/>
                          <w:jc w:val="center"/>
                          <w:rPr>
                            <w:rFonts w:ascii="Arial" w:hAnsi="Arial" w:cs="Arial"/>
                            <w:color w:val="FF0000"/>
                            <w:sz w:val="20"/>
                            <w:u w:val="single"/>
                          </w:rPr>
                        </w:pPr>
                        <m:oMath>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Tdelta</m:t>
                              </m:r>
                            </m:sub>
                          </m:sSub>
                        </m:oMath>
                        <w:r w:rsidR="00630F5B" w:rsidRPr="00AD627A">
                          <w:rPr>
                            <w:i/>
                            <w:color w:val="FF0000"/>
                            <w:sz w:val="20"/>
                            <w:u w:val="single"/>
                          </w:rPr>
                          <w:t xml:space="preserve"> range</w:t>
                        </w:r>
                      </w:p>
                    </w:tc>
                    <w:tc>
                      <w:tcPr>
                        <w:tcW w:w="0" w:type="auto"/>
                        <w:vAlign w:val="center"/>
                      </w:tcPr>
                      <w:p w:rsidR="00630F5B" w:rsidRPr="00AD627A" w:rsidRDefault="00DA464A" w:rsidP="00543B79">
                        <w:pPr>
                          <w:spacing w:before="120" w:after="120"/>
                          <w:jc w:val="center"/>
                          <w:rPr>
                            <w:i/>
                            <w:color w:val="FF0000"/>
                            <w:sz w:val="20"/>
                            <w:u w:val="single"/>
                          </w:rPr>
                        </w:pPr>
                        <m:oMathPara>
                          <m:oMath>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max</m:t>
                                </m:r>
                              </m:sub>
                            </m:sSub>
                          </m:oMath>
                        </m:oMathPara>
                      </w:p>
                    </w:tc>
                    <w:tc>
                      <w:tcPr>
                        <w:tcW w:w="0" w:type="auto"/>
                        <w:vAlign w:val="center"/>
                      </w:tcPr>
                      <w:p w:rsidR="00630F5B" w:rsidRPr="00AD627A" w:rsidRDefault="00DA464A" w:rsidP="00543B79">
                        <w:pPr>
                          <w:spacing w:before="120" w:after="120"/>
                          <w:jc w:val="center"/>
                          <w:rPr>
                            <w:i/>
                            <w:color w:val="FF0000"/>
                            <w:sz w:val="20"/>
                            <w:u w:val="single"/>
                          </w:rPr>
                        </w:pPr>
                        <m:oMathPara>
                          <m:oMath>
                            <m:sSub>
                              <m:sSubPr>
                                <m:ctrlPr>
                                  <w:rPr>
                                    <w:rFonts w:ascii="Cambria Math" w:hAnsi="Cambria Math"/>
                                    <w:i/>
                                    <w:color w:val="FF0000"/>
                                    <w:sz w:val="20"/>
                                    <w:u w:val="single"/>
                                  </w:rPr>
                                </m:ctrlPr>
                              </m:sSubPr>
                              <m:e>
                                <m:r>
                                  <w:rPr>
                                    <w:rFonts w:ascii="Cambria Math" w:hAnsi="Cambria Math"/>
                                    <w:color w:val="FF0000"/>
                                    <w:sz w:val="20"/>
                                    <w:u w:val="single"/>
                                  </w:rPr>
                                  <m:t>T</m:t>
                                </m:r>
                              </m:e>
                              <m:sub>
                                <m:r>
                                  <w:rPr>
                                    <w:rFonts w:ascii="Cambria Math" w:hAnsi="Cambria Math"/>
                                    <w:color w:val="FF0000"/>
                                    <w:sz w:val="20"/>
                                    <w:u w:val="single"/>
                                  </w:rPr>
                                  <m:t>d,min</m:t>
                                </m:r>
                              </m:sub>
                            </m:sSub>
                          </m:oMath>
                        </m:oMathPara>
                      </w:p>
                    </w:tc>
                    <w:tc>
                      <w:tcPr>
                        <w:tcW w:w="0" w:type="auto"/>
                        <w:vAlign w:val="center"/>
                      </w:tcPr>
                      <w:p w:rsidR="00630F5B" w:rsidRPr="00AD627A" w:rsidRDefault="00630F5B" w:rsidP="00543B79">
                        <w:pPr>
                          <w:spacing w:before="120" w:after="120"/>
                          <w:jc w:val="center"/>
                          <w:rPr>
                            <w:i/>
                            <w:color w:val="FF0000"/>
                            <w:sz w:val="20"/>
                            <w:u w:val="single"/>
                          </w:rPr>
                        </w:pPr>
                        <m:oMathPara>
                          <m:oMath>
                            <m:r>
                              <w:rPr>
                                <w:rFonts w:ascii="Cambria Math" w:hAnsi="Cambria Math"/>
                                <w:color w:val="FF0000"/>
                                <w:sz w:val="20"/>
                                <w:u w:val="single"/>
                              </w:rPr>
                              <m:t>∆</m:t>
                            </m:r>
                          </m:oMath>
                        </m:oMathPara>
                      </w:p>
                    </w:tc>
                  </w:tr>
                  <w:tr w:rsidR="00630F5B" w:rsidRPr="00AD627A" w:rsidTr="00543B79">
                    <w:trPr>
                      <w:jc w:val="center"/>
                    </w:trPr>
                    <w:tc>
                      <w:tcPr>
                        <w:tcW w:w="0" w:type="auto"/>
                      </w:tcPr>
                      <w:p w:rsidR="00630F5B" w:rsidRPr="00AD627A" w:rsidRDefault="00630F5B" w:rsidP="00543B79">
                        <w:pPr>
                          <w:spacing w:before="120" w:after="120"/>
                          <w:jc w:val="center"/>
                          <w:rPr>
                            <w:i/>
                            <w:color w:val="FF0000"/>
                            <w:sz w:val="20"/>
                            <w:u w:val="single"/>
                          </w:rPr>
                        </w:pPr>
                        <m:oMathPara>
                          <m:oMath>
                            <m:r>
                              <w:rPr>
                                <w:rFonts w:ascii="Cambria Math" w:hAnsi="Cambria Math"/>
                                <w:color w:val="FF0000"/>
                                <w:sz w:val="20"/>
                                <w:u w:val="single"/>
                              </w:rPr>
                              <m:t>0≤</m:t>
                            </m:r>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Tdelta</m:t>
                                </m:r>
                              </m:sub>
                            </m:sSub>
                            <m:r>
                              <w:rPr>
                                <w:rFonts w:ascii="Cambria Math" w:hAnsi="Cambria Math"/>
                                <w:color w:val="FF0000"/>
                                <w:sz w:val="20"/>
                                <w:u w:val="single"/>
                              </w:rPr>
                              <m:t>≤825</m:t>
                            </m:r>
                          </m:oMath>
                        </m:oMathPara>
                      </w:p>
                    </w:tc>
                    <w:tc>
                      <w:tcPr>
                        <w:tcW w:w="0" w:type="auto"/>
                        <w:vMerge w:val="restart"/>
                        <w:vAlign w:val="center"/>
                      </w:tcPr>
                      <w:p w:rsidR="00630F5B" w:rsidRPr="00AD627A" w:rsidRDefault="00630F5B" w:rsidP="00543B79">
                        <w:pPr>
                          <w:spacing w:before="120" w:after="120"/>
                          <w:jc w:val="center"/>
                          <w:rPr>
                            <w:i/>
                            <w:color w:val="FF0000"/>
                            <w:sz w:val="20"/>
                            <w:u w:val="single"/>
                          </w:rPr>
                        </w:pPr>
                        <w:r w:rsidRPr="00AD627A">
                          <w:rPr>
                            <w:i/>
                            <w:color w:val="FF0000"/>
                            <w:sz w:val="20"/>
                            <w:u w:val="single"/>
                          </w:rPr>
                          <w:t>1573</w:t>
                        </w:r>
                      </w:p>
                    </w:tc>
                    <w:tc>
                      <w:tcPr>
                        <w:tcW w:w="0" w:type="auto"/>
                        <w:vAlign w:val="center"/>
                      </w:tcPr>
                      <w:p w:rsidR="00630F5B" w:rsidRPr="00AD627A" w:rsidRDefault="00630F5B" w:rsidP="00543B79">
                        <w:pPr>
                          <w:spacing w:before="120" w:after="120"/>
                          <w:jc w:val="center"/>
                          <w:rPr>
                            <w:i/>
                            <w:color w:val="FF0000"/>
                            <w:sz w:val="20"/>
                            <w:u w:val="single"/>
                          </w:rPr>
                        </w:pPr>
                        <w:r w:rsidRPr="00AD627A">
                          <w:rPr>
                            <w:i/>
                            <w:color w:val="FF0000"/>
                            <w:sz w:val="20"/>
                            <w:u w:val="single"/>
                          </w:rPr>
                          <w:t>-70528</w:t>
                        </w:r>
                      </w:p>
                    </w:tc>
                    <w:tc>
                      <w:tcPr>
                        <w:tcW w:w="0" w:type="auto"/>
                        <w:vAlign w:val="center"/>
                      </w:tcPr>
                      <w:p w:rsidR="00630F5B" w:rsidRPr="00AD627A" w:rsidRDefault="00630F5B" w:rsidP="00543B79">
                        <w:pPr>
                          <w:spacing w:before="120" w:after="120"/>
                          <w:jc w:val="center"/>
                          <w:rPr>
                            <w:i/>
                            <w:color w:val="FF0000"/>
                            <w:sz w:val="20"/>
                            <w:u w:val="single"/>
                          </w:rPr>
                        </w:pPr>
                        <w:r w:rsidRPr="00AD627A">
                          <w:rPr>
                            <w:i/>
                            <w:color w:val="FF0000"/>
                            <w:sz w:val="20"/>
                            <w:u w:val="single"/>
                          </w:rPr>
                          <w:t>64</w:t>
                        </w:r>
                      </w:p>
                    </w:tc>
                  </w:tr>
                  <w:tr w:rsidR="00630F5B" w:rsidRPr="00AD627A" w:rsidTr="00543B79">
                    <w:trPr>
                      <w:jc w:val="center"/>
                    </w:trPr>
                    <w:tc>
                      <w:tcPr>
                        <w:tcW w:w="0" w:type="auto"/>
                      </w:tcPr>
                      <w:p w:rsidR="00630F5B" w:rsidRPr="00AD627A" w:rsidRDefault="00630F5B" w:rsidP="00543B79">
                        <w:pPr>
                          <w:spacing w:before="120" w:after="120"/>
                          <w:jc w:val="center"/>
                          <w:rPr>
                            <w:i/>
                            <w:color w:val="FF0000"/>
                            <w:sz w:val="20"/>
                            <w:u w:val="single"/>
                          </w:rPr>
                        </w:pPr>
                        <m:oMathPara>
                          <m:oMath>
                            <m:r>
                              <w:rPr>
                                <w:rFonts w:ascii="Cambria Math" w:hAnsi="Cambria Math"/>
                                <w:color w:val="FF0000"/>
                                <w:sz w:val="20"/>
                                <w:u w:val="single"/>
                              </w:rPr>
                              <m:t>826≤</m:t>
                            </m:r>
                            <m:sSub>
                              <m:sSubPr>
                                <m:ctrlPr>
                                  <w:rPr>
                                    <w:rFonts w:ascii="Cambria Math" w:hAnsi="Cambria Math"/>
                                    <w:i/>
                                    <w:color w:val="FF0000"/>
                                    <w:sz w:val="20"/>
                                    <w:u w:val="single"/>
                                  </w:rPr>
                                </m:ctrlPr>
                              </m:sSubPr>
                              <m:e>
                                <m:r>
                                  <w:rPr>
                                    <w:rFonts w:ascii="Cambria Math" w:hAnsi="Cambria Math"/>
                                    <w:color w:val="FF0000"/>
                                    <w:sz w:val="20"/>
                                    <w:u w:val="single"/>
                                  </w:rPr>
                                  <m:t>I</m:t>
                                </m:r>
                              </m:e>
                              <m:sub>
                                <m:r>
                                  <w:rPr>
                                    <w:rFonts w:ascii="Cambria Math" w:hAnsi="Cambria Math"/>
                                    <w:color w:val="FF0000"/>
                                    <w:sz w:val="20"/>
                                    <w:u w:val="single"/>
                                  </w:rPr>
                                  <m:t>Tdelta</m:t>
                                </m:r>
                              </m:sub>
                            </m:sSub>
                            <m:r>
                              <w:rPr>
                                <w:rFonts w:ascii="Cambria Math" w:hAnsi="Cambria Math"/>
                                <w:color w:val="FF0000"/>
                                <w:sz w:val="20"/>
                                <w:u w:val="single"/>
                              </w:rPr>
                              <m:t>≤1573</m:t>
                            </m:r>
                          </m:oMath>
                        </m:oMathPara>
                      </w:p>
                    </w:tc>
                    <w:tc>
                      <w:tcPr>
                        <w:tcW w:w="0" w:type="auto"/>
                        <w:vMerge/>
                        <w:vAlign w:val="center"/>
                      </w:tcPr>
                      <w:p w:rsidR="00630F5B" w:rsidRPr="00AD627A" w:rsidRDefault="00630F5B" w:rsidP="00543B79">
                        <w:pPr>
                          <w:spacing w:before="120" w:after="120"/>
                          <w:jc w:val="center"/>
                          <w:rPr>
                            <w:i/>
                            <w:color w:val="FF0000"/>
                            <w:sz w:val="20"/>
                            <w:u w:val="single"/>
                          </w:rPr>
                        </w:pPr>
                      </w:p>
                    </w:tc>
                    <w:tc>
                      <w:tcPr>
                        <w:tcW w:w="0" w:type="auto"/>
                        <w:vAlign w:val="center"/>
                      </w:tcPr>
                      <w:p w:rsidR="00630F5B" w:rsidRPr="00AD627A" w:rsidRDefault="00630F5B" w:rsidP="00543B79">
                        <w:pPr>
                          <w:spacing w:before="120" w:after="120"/>
                          <w:jc w:val="center"/>
                          <w:rPr>
                            <w:i/>
                            <w:color w:val="FF0000"/>
                            <w:sz w:val="20"/>
                            <w:u w:val="single"/>
                          </w:rPr>
                        </w:pPr>
                        <w:r w:rsidRPr="00AD627A">
                          <w:rPr>
                            <w:i/>
                            <w:color w:val="FF0000"/>
                            <w:sz w:val="20"/>
                            <w:u w:val="single"/>
                          </w:rPr>
                          <w:t>-44096</w:t>
                        </w:r>
                      </w:p>
                    </w:tc>
                    <w:tc>
                      <w:tcPr>
                        <w:tcW w:w="0" w:type="auto"/>
                        <w:vAlign w:val="center"/>
                      </w:tcPr>
                      <w:p w:rsidR="00630F5B" w:rsidRPr="00AD627A" w:rsidRDefault="00630F5B" w:rsidP="00543B79">
                        <w:pPr>
                          <w:spacing w:before="120" w:after="120"/>
                          <w:jc w:val="center"/>
                          <w:rPr>
                            <w:i/>
                            <w:color w:val="FF0000"/>
                            <w:sz w:val="20"/>
                            <w:u w:val="single"/>
                          </w:rPr>
                        </w:pPr>
                        <w:r w:rsidRPr="00AD627A">
                          <w:rPr>
                            <w:i/>
                            <w:color w:val="FF0000"/>
                            <w:sz w:val="20"/>
                            <w:u w:val="single"/>
                          </w:rPr>
                          <w:t>32</w:t>
                        </w:r>
                      </w:p>
                    </w:tc>
                  </w:tr>
                </w:tbl>
                <w:p w:rsidR="00543B79" w:rsidRPr="00AD627A" w:rsidRDefault="00543B79" w:rsidP="00C75F26">
                  <w:pPr>
                    <w:spacing w:before="120" w:after="120"/>
                    <w:rPr>
                      <w:color w:val="FF0000"/>
                      <w:kern w:val="0"/>
                      <w:sz w:val="20"/>
                      <w:u w:val="single"/>
                      <w:lang w:val="en-GB" w:eastAsia="en-US"/>
                    </w:rPr>
                  </w:pPr>
                </w:p>
                <w:p w:rsidR="00543B79" w:rsidRPr="00741941" w:rsidRDefault="00543B79" w:rsidP="00741941">
                  <w:pPr>
                    <w:spacing w:before="120" w:after="120"/>
                    <w:jc w:val="center"/>
                    <w:rPr>
                      <w:sz w:val="20"/>
                      <w:lang w:val="en-GB"/>
                    </w:rPr>
                  </w:pPr>
                  <w:r w:rsidRPr="00741941">
                    <w:rPr>
                      <w:b/>
                      <w:color w:val="0070C0"/>
                      <w:sz w:val="20"/>
                    </w:rPr>
                    <w:t>&lt;Unchanged text is omitted&gt;</w:t>
                  </w:r>
                </w:p>
              </w:txbxContent>
            </v:textbox>
          </v:shape>
        </w:pict>
      </w:r>
    </w:p>
    <w:p w:rsidR="00741941" w:rsidRDefault="00741941" w:rsidP="001D3B3D">
      <w:pPr>
        <w:spacing w:before="120" w:after="120"/>
      </w:pPr>
    </w:p>
    <w:p w:rsidR="00741941" w:rsidRDefault="00741941" w:rsidP="001D3B3D">
      <w:pPr>
        <w:spacing w:before="120" w:after="120"/>
      </w:pPr>
    </w:p>
    <w:p w:rsidR="00741941" w:rsidRDefault="00741941" w:rsidP="001D3B3D">
      <w:pPr>
        <w:spacing w:before="120" w:after="120"/>
      </w:pPr>
    </w:p>
    <w:p w:rsidR="00741941" w:rsidRDefault="00741941" w:rsidP="001D3B3D">
      <w:pPr>
        <w:spacing w:before="120" w:after="120"/>
      </w:pPr>
    </w:p>
    <w:p w:rsidR="00741941" w:rsidRDefault="00741941" w:rsidP="001D3B3D">
      <w:pPr>
        <w:spacing w:before="120" w:after="120"/>
      </w:pPr>
    </w:p>
    <w:p w:rsidR="00741941" w:rsidRDefault="00741941" w:rsidP="001D3B3D">
      <w:pPr>
        <w:spacing w:before="120" w:after="120"/>
      </w:pPr>
    </w:p>
    <w:p w:rsidR="00741941" w:rsidRDefault="00741941" w:rsidP="001D3B3D">
      <w:pPr>
        <w:spacing w:before="120" w:after="120"/>
      </w:pPr>
    </w:p>
    <w:p w:rsidR="00741941" w:rsidRDefault="00741941" w:rsidP="001D3B3D">
      <w:pPr>
        <w:spacing w:before="120" w:after="120"/>
      </w:pPr>
    </w:p>
    <w:p w:rsidR="00C75F26" w:rsidRDefault="00C75F26" w:rsidP="001D3B3D">
      <w:pPr>
        <w:spacing w:before="120" w:after="120"/>
      </w:pPr>
    </w:p>
    <w:p w:rsidR="00032BAA" w:rsidRDefault="00032BAA" w:rsidP="001D3B3D">
      <w:pPr>
        <w:spacing w:before="120" w:after="120"/>
      </w:pPr>
    </w:p>
    <w:p w:rsidR="00032BAA" w:rsidRDefault="00032BAA" w:rsidP="001D3B3D">
      <w:pPr>
        <w:spacing w:before="120" w:after="120"/>
      </w:pPr>
    </w:p>
    <w:p w:rsidR="00032BAA" w:rsidRDefault="00032BAA" w:rsidP="001D3B3D">
      <w:pPr>
        <w:spacing w:before="120" w:after="120"/>
      </w:pPr>
    </w:p>
    <w:p w:rsidR="00032BAA" w:rsidRDefault="00032BAA" w:rsidP="001D3B3D">
      <w:pPr>
        <w:spacing w:before="120" w:after="120"/>
      </w:pPr>
    </w:p>
    <w:p w:rsidR="00C75F26" w:rsidRDefault="00C75F26" w:rsidP="001D3B3D">
      <w:pPr>
        <w:spacing w:before="120" w:after="120"/>
      </w:pPr>
    </w:p>
    <w:p w:rsidR="00543B79" w:rsidRDefault="00543B79" w:rsidP="001D3B3D">
      <w:pPr>
        <w:spacing w:before="120" w:after="120"/>
      </w:pPr>
    </w:p>
    <w:p w:rsidR="00543B79" w:rsidRDefault="00543B79" w:rsidP="001D3B3D">
      <w:pPr>
        <w:spacing w:before="120" w:after="120"/>
      </w:pPr>
    </w:p>
    <w:p w:rsidR="00543B79" w:rsidRDefault="00543B79" w:rsidP="001D3B3D">
      <w:pPr>
        <w:spacing w:before="120" w:after="120"/>
      </w:pPr>
    </w:p>
    <w:p w:rsidR="00543B79" w:rsidRDefault="00543B79" w:rsidP="001D3B3D">
      <w:pPr>
        <w:spacing w:before="120" w:after="120"/>
      </w:pPr>
    </w:p>
    <w:p w:rsidR="00543B79" w:rsidRDefault="00543B79" w:rsidP="001D3B3D">
      <w:pPr>
        <w:spacing w:before="120" w:after="120"/>
      </w:pPr>
    </w:p>
    <w:p w:rsidR="00543B79" w:rsidRDefault="00543B79" w:rsidP="001D3B3D">
      <w:pPr>
        <w:spacing w:before="120" w:after="120"/>
      </w:pPr>
    </w:p>
    <w:p w:rsidR="00543B79" w:rsidRDefault="00543B79" w:rsidP="001D3B3D">
      <w:pPr>
        <w:spacing w:before="120" w:after="120"/>
      </w:pPr>
    </w:p>
    <w:p w:rsidR="00543B79" w:rsidRDefault="00543B79" w:rsidP="001D3B3D">
      <w:pPr>
        <w:spacing w:before="120" w:after="120"/>
      </w:pPr>
    </w:p>
    <w:p w:rsidR="00543B79" w:rsidRPr="001D3B3D" w:rsidRDefault="00543B79" w:rsidP="001D3B3D">
      <w:pPr>
        <w:spacing w:before="120" w:after="120"/>
      </w:pPr>
    </w:p>
    <w:p w:rsidR="00D5069D" w:rsidRDefault="006B05DC">
      <w:pPr>
        <w:pStyle w:val="Heading1"/>
        <w:spacing w:before="120" w:after="120"/>
        <w:ind w:left="0"/>
        <w:rPr>
          <w:rFonts w:eastAsia="SimSun"/>
        </w:rPr>
      </w:pPr>
      <w:r>
        <w:rPr>
          <w:rFonts w:eastAsia="SimSun" w:hint="eastAsia"/>
        </w:rPr>
        <w:t>Reference</w:t>
      </w:r>
      <w:r>
        <w:rPr>
          <w:rFonts w:eastAsia="SimSun"/>
        </w:rPr>
        <w:t>s</w:t>
      </w:r>
    </w:p>
    <w:p w:rsidR="00B81675" w:rsidRPr="00141AF0" w:rsidRDefault="00B81675" w:rsidP="0016431C">
      <w:pPr>
        <w:pStyle w:val="References"/>
        <w:spacing w:before="120" w:after="120" w:line="276" w:lineRule="auto"/>
        <w:ind w:left="363" w:hanging="363"/>
        <w:rPr>
          <w:sz w:val="20"/>
          <w:szCs w:val="20"/>
        </w:rPr>
      </w:pPr>
      <w:bookmarkStart w:id="7" w:name="_Ref34952156"/>
      <w:bookmarkStart w:id="8" w:name="_Ref34856057"/>
      <w:bookmarkStart w:id="9" w:name="_Ref6480"/>
      <w:bookmarkStart w:id="10" w:name="_Ref17466"/>
      <w:r w:rsidRPr="00141AF0">
        <w:rPr>
          <w:sz w:val="20"/>
          <w:szCs w:val="20"/>
        </w:rPr>
        <w:t>R1-1909962</w:t>
      </w:r>
      <w:r w:rsidR="009C00F3" w:rsidRPr="00141AF0">
        <w:rPr>
          <w:sz w:val="20"/>
          <w:szCs w:val="20"/>
        </w:rPr>
        <w:t xml:space="preserve"> (R4-1909999)</w:t>
      </w:r>
      <w:r w:rsidRPr="00141AF0">
        <w:rPr>
          <w:sz w:val="20"/>
          <w:szCs w:val="20"/>
        </w:rPr>
        <w:t>, Reply LS on OTA timing alignment for IAB, RAN4, Samsung</w:t>
      </w:r>
      <w:bookmarkEnd w:id="7"/>
    </w:p>
    <w:p w:rsidR="00B81675" w:rsidRPr="00141AF0" w:rsidRDefault="00B81675" w:rsidP="0016431C">
      <w:pPr>
        <w:pStyle w:val="References"/>
        <w:spacing w:before="120" w:after="120" w:line="276" w:lineRule="auto"/>
        <w:ind w:left="363" w:hanging="363"/>
        <w:rPr>
          <w:sz w:val="20"/>
          <w:szCs w:val="20"/>
        </w:rPr>
      </w:pPr>
      <w:bookmarkStart w:id="11" w:name="_Ref35198001"/>
      <w:r w:rsidRPr="00141AF0">
        <w:rPr>
          <w:sz w:val="20"/>
          <w:szCs w:val="20"/>
        </w:rPr>
        <w:t>R1-1911807</w:t>
      </w:r>
      <w:r w:rsidR="00141AF0">
        <w:rPr>
          <w:sz w:val="20"/>
          <w:szCs w:val="20"/>
        </w:rPr>
        <w:t xml:space="preserve"> (R4-1912714)</w:t>
      </w:r>
      <w:r w:rsidRPr="00141AF0">
        <w:rPr>
          <w:sz w:val="20"/>
          <w:szCs w:val="20"/>
        </w:rPr>
        <w:t>, Reply LS on T_delta for IAB OTA timing alignment, RAN4, Samsung</w:t>
      </w:r>
      <w:bookmarkEnd w:id="11"/>
    </w:p>
    <w:p w:rsidR="0016431C" w:rsidRPr="00141AF0" w:rsidRDefault="0016431C" w:rsidP="0016431C">
      <w:pPr>
        <w:pStyle w:val="References"/>
        <w:spacing w:before="120" w:after="120" w:line="276" w:lineRule="auto"/>
        <w:ind w:left="363" w:hanging="363"/>
        <w:rPr>
          <w:sz w:val="20"/>
          <w:szCs w:val="20"/>
        </w:rPr>
      </w:pPr>
      <w:bookmarkStart w:id="12" w:name="_Ref34952172"/>
      <w:r w:rsidRPr="00141AF0">
        <w:rPr>
          <w:sz w:val="20"/>
          <w:szCs w:val="20"/>
        </w:rPr>
        <w:t xml:space="preserve">R2-2002254, </w:t>
      </w:r>
      <w:r w:rsidRPr="00141AF0">
        <w:rPr>
          <w:bCs/>
          <w:sz w:val="20"/>
          <w:szCs w:val="20"/>
        </w:rPr>
        <w:t>LS to RAN1 on T_delta in IAB, RAN2</w:t>
      </w:r>
      <w:bookmarkEnd w:id="8"/>
      <w:bookmarkEnd w:id="12"/>
    </w:p>
    <w:bookmarkEnd w:id="9"/>
    <w:bookmarkEnd w:id="10"/>
    <w:p w:rsidR="00D5069D" w:rsidRDefault="00D5069D">
      <w:pPr>
        <w:spacing w:beforeLines="0" w:afterLines="0"/>
        <w:jc w:val="left"/>
      </w:pPr>
    </w:p>
    <w:sectPr w:rsidR="00D5069D" w:rsidSect="00C851E9">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14F" w:rsidRDefault="00F1414F">
      <w:pPr>
        <w:spacing w:before="120" w:after="120" w:line="240" w:lineRule="auto"/>
      </w:pPr>
      <w:r>
        <w:separator/>
      </w:r>
    </w:p>
  </w:endnote>
  <w:endnote w:type="continuationSeparator" w:id="0">
    <w:p w:rsidR="00F1414F" w:rsidRDefault="00F1414F">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B79" w:rsidRDefault="00543B79">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5831100"/>
      <w:docPartObj>
        <w:docPartGallery w:val="Page Numbers (Bottom of Page)"/>
        <w:docPartUnique/>
      </w:docPartObj>
    </w:sdtPr>
    <w:sdtEndPr>
      <w:rPr>
        <w:noProof/>
      </w:rPr>
    </w:sdtEndPr>
    <w:sdtContent>
      <w:p w:rsidR="00543B79" w:rsidRDefault="00DA464A">
        <w:pPr>
          <w:pStyle w:val="Footer"/>
          <w:spacing w:before="120" w:after="120"/>
          <w:jc w:val="center"/>
        </w:pPr>
        <w:r>
          <w:fldChar w:fldCharType="begin"/>
        </w:r>
        <w:r w:rsidR="00B23E66">
          <w:instrText xml:space="preserve"> PAGE   \* MERGEFORMAT </w:instrText>
        </w:r>
        <w:r>
          <w:fldChar w:fldCharType="separate"/>
        </w:r>
        <w:r w:rsidR="009C43B3">
          <w:rPr>
            <w:noProof/>
          </w:rPr>
          <w:t>1</w:t>
        </w:r>
        <w:r>
          <w:rPr>
            <w:noProof/>
          </w:rPr>
          <w:fldChar w:fldCharType="end"/>
        </w:r>
      </w:p>
    </w:sdtContent>
  </w:sdt>
  <w:p w:rsidR="00543B79" w:rsidRDefault="00543B79">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B79" w:rsidRDefault="00543B79">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14F" w:rsidRDefault="00F1414F">
      <w:pPr>
        <w:spacing w:before="120" w:after="120" w:line="240" w:lineRule="auto"/>
      </w:pPr>
      <w:r>
        <w:separator/>
      </w:r>
    </w:p>
  </w:footnote>
  <w:footnote w:type="continuationSeparator" w:id="0">
    <w:p w:rsidR="00F1414F" w:rsidRDefault="00F1414F">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B79" w:rsidRDefault="00543B79">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B79" w:rsidRDefault="00543B79">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B79" w:rsidRDefault="00543B79">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119490B"/>
    <w:multiLevelType w:val="hybridMultilevel"/>
    <w:tmpl w:val="C1882572"/>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17A8328B"/>
    <w:multiLevelType w:val="hybridMultilevel"/>
    <w:tmpl w:val="5FF8124A"/>
    <w:lvl w:ilvl="0" w:tplc="04090001">
      <w:start w:val="1"/>
      <w:numFmt w:val="bullet"/>
      <w:lvlText w:val=""/>
      <w:lvlJc w:val="left"/>
      <w:pPr>
        <w:ind w:left="1107" w:hanging="360"/>
      </w:pPr>
      <w:rPr>
        <w:rFonts w:ascii="Symbol" w:hAnsi="Symbol"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nsid w:val="20342490"/>
    <w:multiLevelType w:val="hybridMultilevel"/>
    <w:tmpl w:val="C63C9D2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E581D49"/>
    <w:multiLevelType w:val="multilevel"/>
    <w:tmpl w:val="2E581D4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9">
    <w:nsid w:val="328C5682"/>
    <w:multiLevelType w:val="hybridMultilevel"/>
    <w:tmpl w:val="E05E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abstractNum w:abstractNumId="13">
    <w:nsid w:val="4A53142C"/>
    <w:multiLevelType w:val="hybridMultilevel"/>
    <w:tmpl w:val="390C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595215"/>
    <w:multiLevelType w:val="hybridMultilevel"/>
    <w:tmpl w:val="5204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F703D1"/>
    <w:multiLevelType w:val="hybridMultilevel"/>
    <w:tmpl w:val="351AA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301AF5"/>
    <w:multiLevelType w:val="hybridMultilevel"/>
    <w:tmpl w:val="9BB01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AA1749"/>
    <w:multiLevelType w:val="hybridMultilevel"/>
    <w:tmpl w:val="24AC5FF4"/>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num w:numId="1">
    <w:abstractNumId w:val="3"/>
  </w:num>
  <w:num w:numId="2">
    <w:abstractNumId w:val="10"/>
  </w:num>
  <w:num w:numId="3">
    <w:abstractNumId w:val="8"/>
  </w:num>
  <w:num w:numId="4">
    <w:abstractNumId w:val="1"/>
  </w:num>
  <w:num w:numId="5">
    <w:abstractNumId w:val="11"/>
  </w:num>
  <w:num w:numId="6">
    <w:abstractNumId w:val="0"/>
  </w:num>
  <w:num w:numId="7">
    <w:abstractNumId w:val="12"/>
  </w:num>
  <w:num w:numId="8">
    <w:abstractNumId w:val="7"/>
  </w:num>
  <w:num w:numId="9">
    <w:abstractNumId w:val="14"/>
  </w:num>
  <w:num w:numId="10">
    <w:abstractNumId w:val="6"/>
  </w:num>
  <w:num w:numId="11">
    <w:abstractNumId w:val="13"/>
  </w:num>
  <w:num w:numId="12">
    <w:abstractNumId w:val="16"/>
  </w:num>
  <w:num w:numId="13">
    <w:abstractNumId w:val="4"/>
  </w:num>
  <w:num w:numId="14">
    <w:abstractNumId w:val="5"/>
  </w:num>
  <w:num w:numId="15">
    <w:abstractNumId w:val="15"/>
  </w:num>
  <w:num w:numId="16">
    <w:abstractNumId w:val="9"/>
  </w:num>
  <w:num w:numId="17">
    <w:abstractNumId w:val="17"/>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420"/>
  <w:drawingGridHorizontalSpacing w:val="120"/>
  <w:drawingGridVerticalSpacing w:val="120"/>
  <w:doNotUseMarginsForDrawingGridOrigin/>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387E"/>
    <w:rsid w:val="0000680A"/>
    <w:rsid w:val="0001201E"/>
    <w:rsid w:val="00025FD6"/>
    <w:rsid w:val="00032BAA"/>
    <w:rsid w:val="000B62AF"/>
    <w:rsid w:val="0010505D"/>
    <w:rsid w:val="00137D3B"/>
    <w:rsid w:val="00141AF0"/>
    <w:rsid w:val="00145622"/>
    <w:rsid w:val="00154218"/>
    <w:rsid w:val="00156CC7"/>
    <w:rsid w:val="0016431C"/>
    <w:rsid w:val="00172A27"/>
    <w:rsid w:val="001C05D9"/>
    <w:rsid w:val="001C38CC"/>
    <w:rsid w:val="001C689C"/>
    <w:rsid w:val="001D3B3D"/>
    <w:rsid w:val="001D668A"/>
    <w:rsid w:val="001E1569"/>
    <w:rsid w:val="001E49C7"/>
    <w:rsid w:val="0022212A"/>
    <w:rsid w:val="00256359"/>
    <w:rsid w:val="002919A6"/>
    <w:rsid w:val="002A5C43"/>
    <w:rsid w:val="002D2E7C"/>
    <w:rsid w:val="002E04C0"/>
    <w:rsid w:val="00311008"/>
    <w:rsid w:val="003168A5"/>
    <w:rsid w:val="003242DF"/>
    <w:rsid w:val="0037712E"/>
    <w:rsid w:val="003A0B05"/>
    <w:rsid w:val="003D495A"/>
    <w:rsid w:val="004663A0"/>
    <w:rsid w:val="0049651A"/>
    <w:rsid w:val="00496866"/>
    <w:rsid w:val="004A1FC2"/>
    <w:rsid w:val="004B33EB"/>
    <w:rsid w:val="00513760"/>
    <w:rsid w:val="00514448"/>
    <w:rsid w:val="00514A52"/>
    <w:rsid w:val="00520503"/>
    <w:rsid w:val="00543B79"/>
    <w:rsid w:val="00552002"/>
    <w:rsid w:val="005914F0"/>
    <w:rsid w:val="005B065E"/>
    <w:rsid w:val="005B6078"/>
    <w:rsid w:val="005B6D26"/>
    <w:rsid w:val="005D2307"/>
    <w:rsid w:val="005E2C93"/>
    <w:rsid w:val="005F04FF"/>
    <w:rsid w:val="005F5E35"/>
    <w:rsid w:val="00612D97"/>
    <w:rsid w:val="006162BF"/>
    <w:rsid w:val="00630F5B"/>
    <w:rsid w:val="00651857"/>
    <w:rsid w:val="00660A75"/>
    <w:rsid w:val="00692C73"/>
    <w:rsid w:val="00696AF2"/>
    <w:rsid w:val="006B05DC"/>
    <w:rsid w:val="006C3884"/>
    <w:rsid w:val="006E7AD8"/>
    <w:rsid w:val="006F0DF8"/>
    <w:rsid w:val="00711780"/>
    <w:rsid w:val="00733E3F"/>
    <w:rsid w:val="00741941"/>
    <w:rsid w:val="00741A04"/>
    <w:rsid w:val="00751E04"/>
    <w:rsid w:val="007712AD"/>
    <w:rsid w:val="00794C3F"/>
    <w:rsid w:val="007A65B3"/>
    <w:rsid w:val="007F12BB"/>
    <w:rsid w:val="007F5A96"/>
    <w:rsid w:val="008312EC"/>
    <w:rsid w:val="00892F00"/>
    <w:rsid w:val="008E2AF8"/>
    <w:rsid w:val="00933F25"/>
    <w:rsid w:val="00934D25"/>
    <w:rsid w:val="00934EC5"/>
    <w:rsid w:val="0096044C"/>
    <w:rsid w:val="0098314E"/>
    <w:rsid w:val="0099290F"/>
    <w:rsid w:val="009A4DE7"/>
    <w:rsid w:val="009B3D18"/>
    <w:rsid w:val="009C00F3"/>
    <w:rsid w:val="009C43B3"/>
    <w:rsid w:val="009C583F"/>
    <w:rsid w:val="009D415F"/>
    <w:rsid w:val="009E4DD2"/>
    <w:rsid w:val="009F3B0A"/>
    <w:rsid w:val="00A00FF9"/>
    <w:rsid w:val="00A104BC"/>
    <w:rsid w:val="00A345DC"/>
    <w:rsid w:val="00A36A95"/>
    <w:rsid w:val="00A36C2A"/>
    <w:rsid w:val="00A42FF3"/>
    <w:rsid w:val="00AA03EB"/>
    <w:rsid w:val="00AC1A6D"/>
    <w:rsid w:val="00AD1043"/>
    <w:rsid w:val="00AD627A"/>
    <w:rsid w:val="00AE5439"/>
    <w:rsid w:val="00AE6F5A"/>
    <w:rsid w:val="00B0703E"/>
    <w:rsid w:val="00B23E66"/>
    <w:rsid w:val="00B25360"/>
    <w:rsid w:val="00B40699"/>
    <w:rsid w:val="00B6370B"/>
    <w:rsid w:val="00B81675"/>
    <w:rsid w:val="00BE68CB"/>
    <w:rsid w:val="00C00DE5"/>
    <w:rsid w:val="00C26EF4"/>
    <w:rsid w:val="00C75F26"/>
    <w:rsid w:val="00C851E9"/>
    <w:rsid w:val="00C913C6"/>
    <w:rsid w:val="00CD6861"/>
    <w:rsid w:val="00D10D15"/>
    <w:rsid w:val="00D15B0F"/>
    <w:rsid w:val="00D37065"/>
    <w:rsid w:val="00D5069D"/>
    <w:rsid w:val="00D50C53"/>
    <w:rsid w:val="00D51022"/>
    <w:rsid w:val="00DA464A"/>
    <w:rsid w:val="00DC3F95"/>
    <w:rsid w:val="00DC52CD"/>
    <w:rsid w:val="00DE05F6"/>
    <w:rsid w:val="00E4522D"/>
    <w:rsid w:val="00E76DEE"/>
    <w:rsid w:val="00E83F88"/>
    <w:rsid w:val="00EB2E20"/>
    <w:rsid w:val="00EB79A4"/>
    <w:rsid w:val="00EC1CB3"/>
    <w:rsid w:val="00EE6366"/>
    <w:rsid w:val="00F1414F"/>
    <w:rsid w:val="00F47BCE"/>
    <w:rsid w:val="00F53697"/>
    <w:rsid w:val="00F67BEE"/>
    <w:rsid w:val="00FD2DE4"/>
    <w:rsid w:val="01764F01"/>
    <w:rsid w:val="01DC0E97"/>
    <w:rsid w:val="024D6B6A"/>
    <w:rsid w:val="029B04E7"/>
    <w:rsid w:val="03073BDC"/>
    <w:rsid w:val="03205A50"/>
    <w:rsid w:val="033F44DC"/>
    <w:rsid w:val="0555228E"/>
    <w:rsid w:val="059D1E39"/>
    <w:rsid w:val="05E078B3"/>
    <w:rsid w:val="077D0583"/>
    <w:rsid w:val="079724D0"/>
    <w:rsid w:val="082A352F"/>
    <w:rsid w:val="08C349D1"/>
    <w:rsid w:val="09F67CD5"/>
    <w:rsid w:val="0AFA681A"/>
    <w:rsid w:val="0B9E71DF"/>
    <w:rsid w:val="0C9D30C2"/>
    <w:rsid w:val="0CB92834"/>
    <w:rsid w:val="0E172BD0"/>
    <w:rsid w:val="0EA423BB"/>
    <w:rsid w:val="1006429D"/>
    <w:rsid w:val="10A50104"/>
    <w:rsid w:val="119D7849"/>
    <w:rsid w:val="1242135C"/>
    <w:rsid w:val="13A1683F"/>
    <w:rsid w:val="145C4138"/>
    <w:rsid w:val="14DA3DA1"/>
    <w:rsid w:val="168E3C2F"/>
    <w:rsid w:val="17155857"/>
    <w:rsid w:val="17950508"/>
    <w:rsid w:val="19010C43"/>
    <w:rsid w:val="19084C73"/>
    <w:rsid w:val="1A054259"/>
    <w:rsid w:val="1B7F6005"/>
    <w:rsid w:val="1C132CB9"/>
    <w:rsid w:val="1CCC26CA"/>
    <w:rsid w:val="1E9D6342"/>
    <w:rsid w:val="1FED12AC"/>
    <w:rsid w:val="204E6676"/>
    <w:rsid w:val="2195668B"/>
    <w:rsid w:val="21BE5AD4"/>
    <w:rsid w:val="245C52F8"/>
    <w:rsid w:val="2463385E"/>
    <w:rsid w:val="25134332"/>
    <w:rsid w:val="257E508F"/>
    <w:rsid w:val="27AB7429"/>
    <w:rsid w:val="285C053E"/>
    <w:rsid w:val="29FA7F26"/>
    <w:rsid w:val="2B402E9F"/>
    <w:rsid w:val="2B774832"/>
    <w:rsid w:val="2CB47BAD"/>
    <w:rsid w:val="2F1251F2"/>
    <w:rsid w:val="30962F3E"/>
    <w:rsid w:val="30D17E68"/>
    <w:rsid w:val="30FF2795"/>
    <w:rsid w:val="328D21A7"/>
    <w:rsid w:val="329A6ACE"/>
    <w:rsid w:val="32E14AD9"/>
    <w:rsid w:val="360B1D73"/>
    <w:rsid w:val="361F3323"/>
    <w:rsid w:val="36E93760"/>
    <w:rsid w:val="3784394E"/>
    <w:rsid w:val="38AE3BB0"/>
    <w:rsid w:val="39D51362"/>
    <w:rsid w:val="3ACB5746"/>
    <w:rsid w:val="3B7C59C8"/>
    <w:rsid w:val="3BB20883"/>
    <w:rsid w:val="3E441C7D"/>
    <w:rsid w:val="3FC956FF"/>
    <w:rsid w:val="40A36A71"/>
    <w:rsid w:val="41D3631F"/>
    <w:rsid w:val="41F466FD"/>
    <w:rsid w:val="42A67A24"/>
    <w:rsid w:val="42D846B9"/>
    <w:rsid w:val="440D5045"/>
    <w:rsid w:val="4438617B"/>
    <w:rsid w:val="44416305"/>
    <w:rsid w:val="45BE6191"/>
    <w:rsid w:val="460C5979"/>
    <w:rsid w:val="47C01792"/>
    <w:rsid w:val="4808150F"/>
    <w:rsid w:val="49E9233D"/>
    <w:rsid w:val="4AAD1944"/>
    <w:rsid w:val="4AC31003"/>
    <w:rsid w:val="4AE93159"/>
    <w:rsid w:val="4BD0339A"/>
    <w:rsid w:val="4CE87303"/>
    <w:rsid w:val="4D462159"/>
    <w:rsid w:val="4D5C5FAC"/>
    <w:rsid w:val="4DC605B6"/>
    <w:rsid w:val="4DEC0985"/>
    <w:rsid w:val="4E27683A"/>
    <w:rsid w:val="4F2765B1"/>
    <w:rsid w:val="4F285975"/>
    <w:rsid w:val="50E26361"/>
    <w:rsid w:val="51867298"/>
    <w:rsid w:val="52195EDF"/>
    <w:rsid w:val="52313387"/>
    <w:rsid w:val="52E04D27"/>
    <w:rsid w:val="539A390F"/>
    <w:rsid w:val="53DB3477"/>
    <w:rsid w:val="54A214B9"/>
    <w:rsid w:val="54AF6B42"/>
    <w:rsid w:val="55DD6F2A"/>
    <w:rsid w:val="56E23970"/>
    <w:rsid w:val="578F220A"/>
    <w:rsid w:val="57FC07D9"/>
    <w:rsid w:val="58500F22"/>
    <w:rsid w:val="591C0009"/>
    <w:rsid w:val="5ACF0F3A"/>
    <w:rsid w:val="5C6B1600"/>
    <w:rsid w:val="5C921AD0"/>
    <w:rsid w:val="5D2B132D"/>
    <w:rsid w:val="5DFD51DB"/>
    <w:rsid w:val="5E0D36E5"/>
    <w:rsid w:val="607C3753"/>
    <w:rsid w:val="60C30855"/>
    <w:rsid w:val="61421EFD"/>
    <w:rsid w:val="615C5041"/>
    <w:rsid w:val="664805B8"/>
    <w:rsid w:val="690F418B"/>
    <w:rsid w:val="6A7A2736"/>
    <w:rsid w:val="6A7B4B9C"/>
    <w:rsid w:val="6C61539B"/>
    <w:rsid w:val="6C89456C"/>
    <w:rsid w:val="6E9A42F2"/>
    <w:rsid w:val="6FA629D4"/>
    <w:rsid w:val="70BB2EF0"/>
    <w:rsid w:val="737726E4"/>
    <w:rsid w:val="73D425F7"/>
    <w:rsid w:val="74957944"/>
    <w:rsid w:val="750A2023"/>
    <w:rsid w:val="754D7C95"/>
    <w:rsid w:val="7676736A"/>
    <w:rsid w:val="76933951"/>
    <w:rsid w:val="771D661B"/>
    <w:rsid w:val="78782A0D"/>
    <w:rsid w:val="79A2171F"/>
    <w:rsid w:val="79A252FF"/>
    <w:rsid w:val="79D33056"/>
    <w:rsid w:val="7A537362"/>
    <w:rsid w:val="7C26369C"/>
    <w:rsid w:val="7C9E5A24"/>
    <w:rsid w:val="7D62117D"/>
    <w:rsid w:val="7E3E1EF2"/>
    <w:rsid w:val="7E951513"/>
    <w:rsid w:val="7EF74FC9"/>
    <w:rsid w:val="7FD041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qFormat="1"/>
    <w:lsdException w:name="toc 3" w:semiHidden="0" w:qFormat="1"/>
    <w:lsdException w:name="header" w:uiPriority="0" w:unhideWhenUsed="0" w:qFormat="1"/>
    <w:lsdException w:name="footer" w:qFormat="1"/>
    <w:lsdException w:name="table of figures" w:qFormat="1"/>
    <w:lsdException w:name="Title" w:semiHidden="0" w:unhideWhenUsed="0"/>
    <w:lsdException w:name="Default Paragraph Font" w:semiHidden="0"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1E9"/>
    <w:pPr>
      <w:spacing w:beforeLines="50" w:afterLines="50"/>
      <w:jc w:val="both"/>
    </w:pPr>
    <w:rPr>
      <w:kern w:val="2"/>
      <w:sz w:val="21"/>
    </w:rPr>
  </w:style>
  <w:style w:type="paragraph" w:styleId="Heading1">
    <w:name w:val="heading 1"/>
    <w:basedOn w:val="Normal"/>
    <w:next w:val="Normal"/>
    <w:qFormat/>
    <w:rsid w:val="00C851E9"/>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C851E9"/>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C851E9"/>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99"/>
    <w:unhideWhenUsed/>
    <w:qFormat/>
    <w:rsid w:val="00C851E9"/>
    <w:pPr>
      <w:adjustRightInd w:val="0"/>
      <w:ind w:leftChars="400" w:left="1282" w:hangingChars="200" w:hanging="442"/>
    </w:pPr>
    <w:rPr>
      <w:b/>
      <w:i/>
      <w:sz w:val="20"/>
    </w:rPr>
  </w:style>
  <w:style w:type="paragraph" w:styleId="Footer">
    <w:name w:val="footer"/>
    <w:basedOn w:val="Normal"/>
    <w:link w:val="FooterChar"/>
    <w:uiPriority w:val="99"/>
    <w:unhideWhenUsed/>
    <w:qFormat/>
    <w:rsid w:val="00C851E9"/>
    <w:pPr>
      <w:tabs>
        <w:tab w:val="center" w:pos="4153"/>
        <w:tab w:val="right" w:pos="8306"/>
      </w:tabs>
      <w:snapToGrid w:val="0"/>
      <w:jc w:val="left"/>
    </w:pPr>
    <w:rPr>
      <w:sz w:val="18"/>
      <w:szCs w:val="18"/>
    </w:rPr>
  </w:style>
  <w:style w:type="paragraph" w:styleId="TOC1">
    <w:name w:val="toc 1"/>
    <w:basedOn w:val="Normal"/>
    <w:next w:val="Normal"/>
    <w:uiPriority w:val="39"/>
    <w:unhideWhenUsed/>
    <w:qFormat/>
    <w:rsid w:val="00C851E9"/>
    <w:rPr>
      <w:rFonts w:eastAsiaTheme="minorEastAsia"/>
      <w:b/>
      <w:i/>
      <w:sz w:val="20"/>
    </w:rPr>
  </w:style>
  <w:style w:type="paragraph" w:styleId="TableofFigures">
    <w:name w:val="table of figures"/>
    <w:basedOn w:val="Normal"/>
    <w:next w:val="Normal"/>
    <w:uiPriority w:val="99"/>
    <w:semiHidden/>
    <w:unhideWhenUsed/>
    <w:qFormat/>
    <w:rsid w:val="00C851E9"/>
    <w:pPr>
      <w:ind w:leftChars="200" w:left="200" w:hangingChars="200" w:hanging="200"/>
    </w:pPr>
  </w:style>
  <w:style w:type="paragraph" w:styleId="TOC2">
    <w:name w:val="toc 2"/>
    <w:basedOn w:val="Normal"/>
    <w:next w:val="Normal"/>
    <w:uiPriority w:val="99"/>
    <w:semiHidden/>
    <w:unhideWhenUsed/>
    <w:qFormat/>
    <w:rsid w:val="00C851E9"/>
    <w:pPr>
      <w:ind w:leftChars="200" w:left="862" w:hangingChars="200" w:hanging="442"/>
    </w:pPr>
    <w:rPr>
      <w:b/>
      <w:i/>
      <w:sz w:val="20"/>
    </w:rPr>
  </w:style>
  <w:style w:type="table" w:styleId="TableGrid">
    <w:name w:val="Table Grid"/>
    <w:basedOn w:val="TableNormal"/>
    <w:uiPriority w:val="99"/>
    <w:unhideWhenUsed/>
    <w:qFormat/>
    <w:rsid w:val="00C851E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Normal"/>
    <w:qFormat/>
    <w:rsid w:val="00C851E9"/>
    <w:pPr>
      <w:numPr>
        <w:numId w:val="2"/>
      </w:numPr>
    </w:pPr>
    <w:rPr>
      <w:rFonts w:eastAsiaTheme="minorEastAsia"/>
      <w:b/>
      <w:bCs/>
      <w:i/>
      <w:iCs/>
      <w:sz w:val="20"/>
      <w:lang w:val="en-GB" w:eastAsia="en-US"/>
    </w:rPr>
  </w:style>
  <w:style w:type="paragraph" w:customStyle="1" w:styleId="YJ-Observation">
    <w:name w:val="YJ-Observation"/>
    <w:basedOn w:val="YJ-Proposal"/>
    <w:qFormat/>
    <w:rsid w:val="00C851E9"/>
    <w:pPr>
      <w:numPr>
        <w:numId w:val="3"/>
      </w:numPr>
      <w:tabs>
        <w:tab w:val="left" w:pos="420"/>
      </w:tabs>
    </w:pPr>
  </w:style>
  <w:style w:type="paragraph" w:customStyle="1" w:styleId="sub-proposal">
    <w:name w:val="sub-proposal"/>
    <w:basedOn w:val="YJ-Proposal"/>
    <w:next w:val="Normal"/>
    <w:qFormat/>
    <w:rsid w:val="00C851E9"/>
    <w:pPr>
      <w:numPr>
        <w:numId w:val="4"/>
      </w:numPr>
      <w:ind w:leftChars="200" w:left="862" w:hangingChars="200" w:hanging="442"/>
    </w:pPr>
  </w:style>
  <w:style w:type="paragraph" w:customStyle="1" w:styleId="sub-observation">
    <w:name w:val="sub-observation"/>
    <w:basedOn w:val="sub-proposal"/>
    <w:next w:val="Normal"/>
    <w:qFormat/>
    <w:rsid w:val="00C851E9"/>
  </w:style>
  <w:style w:type="paragraph" w:customStyle="1" w:styleId="References">
    <w:name w:val="References"/>
    <w:basedOn w:val="Normal"/>
    <w:qFormat/>
    <w:rsid w:val="00C851E9"/>
    <w:pPr>
      <w:numPr>
        <w:numId w:val="5"/>
      </w:numPr>
      <w:spacing w:after="60"/>
    </w:pPr>
    <w:rPr>
      <w:szCs w:val="16"/>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uiPriority w:val="34"/>
    <w:qFormat/>
    <w:rsid w:val="00C851E9"/>
    <w:pPr>
      <w:spacing w:beforeLines="0" w:after="0" w:line="240" w:lineRule="auto"/>
      <w:ind w:left="720"/>
      <w:contextualSpacing/>
    </w:pPr>
    <w:rPr>
      <w:rFonts w:eastAsia="Times New Roman"/>
      <w:sz w:val="24"/>
      <w:szCs w:val="24"/>
    </w:rPr>
  </w:style>
  <w:style w:type="paragraph" w:customStyle="1" w:styleId="1">
    <w:name w:val="样式1"/>
    <w:basedOn w:val="Normal"/>
    <w:qFormat/>
    <w:rsid w:val="00C851E9"/>
  </w:style>
  <w:style w:type="paragraph" w:customStyle="1" w:styleId="3rdlevelproposal">
    <w:name w:val="3rd level proposal"/>
    <w:basedOn w:val="sub-proposal"/>
    <w:next w:val="Normal"/>
    <w:qFormat/>
    <w:rsid w:val="00C851E9"/>
    <w:pPr>
      <w:numPr>
        <w:numId w:val="6"/>
      </w:numPr>
      <w:ind w:leftChars="400" w:left="1282" w:hanging="442"/>
      <w:jc w:val="left"/>
    </w:pPr>
  </w:style>
  <w:style w:type="paragraph" w:customStyle="1" w:styleId="2">
    <w:name w:val="样式2"/>
    <w:basedOn w:val="Normal"/>
    <w:qFormat/>
    <w:rsid w:val="00C851E9"/>
  </w:style>
  <w:style w:type="paragraph" w:customStyle="1" w:styleId="3rdlevelobservation">
    <w:name w:val="3rd level observation"/>
    <w:basedOn w:val="sub-observation"/>
    <w:qFormat/>
    <w:rsid w:val="00C851E9"/>
    <w:pPr>
      <w:numPr>
        <w:numId w:val="7"/>
      </w:numPr>
      <w:ind w:leftChars="400" w:left="1282" w:hanging="442"/>
    </w:pPr>
  </w:style>
  <w:style w:type="paragraph" w:customStyle="1" w:styleId="NO">
    <w:name w:val="NO"/>
    <w:basedOn w:val="Normal"/>
    <w:qFormat/>
    <w:rsid w:val="00C851E9"/>
    <w:pPr>
      <w:keepLines/>
      <w:spacing w:after="180"/>
      <w:ind w:left="1135" w:hanging="851"/>
    </w:pPr>
  </w:style>
  <w:style w:type="paragraph" w:customStyle="1" w:styleId="TAL">
    <w:name w:val="TAL"/>
    <w:basedOn w:val="Normal"/>
    <w:qFormat/>
    <w:rsid w:val="00C851E9"/>
    <w:pPr>
      <w:keepNext/>
      <w:keepLines/>
      <w:spacing w:after="0"/>
    </w:pPr>
    <w:rPr>
      <w:rFonts w:ascii="Arial" w:hAnsi="Arial"/>
      <w:sz w:val="18"/>
    </w:rPr>
  </w:style>
  <w:style w:type="paragraph" w:customStyle="1" w:styleId="FP">
    <w:name w:val="FP"/>
    <w:basedOn w:val="Normal"/>
    <w:qFormat/>
    <w:rsid w:val="00C851E9"/>
    <w:pPr>
      <w:spacing w:after="0"/>
    </w:pPr>
  </w:style>
  <w:style w:type="paragraph" w:customStyle="1" w:styleId="TH">
    <w:name w:val="TH"/>
    <w:basedOn w:val="Normal"/>
    <w:qFormat/>
    <w:rsid w:val="00C851E9"/>
    <w:pPr>
      <w:keepNext/>
      <w:keepLines/>
      <w:spacing w:before="60"/>
      <w:jc w:val="center"/>
    </w:pPr>
    <w:rPr>
      <w:rFonts w:ascii="Arial" w:hAnsi="Arial"/>
      <w:b/>
    </w:rPr>
  </w:style>
  <w:style w:type="paragraph" w:styleId="Header">
    <w:name w:val="header"/>
    <w:basedOn w:val="Normal"/>
    <w:link w:val="HeaderChar"/>
    <w:qFormat/>
    <w:rsid w:val="00AE6F5A"/>
    <w:pPr>
      <w:tabs>
        <w:tab w:val="center" w:pos="4680"/>
        <w:tab w:val="right" w:pos="9360"/>
      </w:tabs>
      <w:spacing w:after="0" w:line="240" w:lineRule="auto"/>
    </w:pPr>
  </w:style>
  <w:style w:type="character" w:customStyle="1" w:styleId="HeaderChar">
    <w:name w:val="Header Char"/>
    <w:basedOn w:val="DefaultParagraphFont"/>
    <w:link w:val="Header"/>
    <w:qFormat/>
    <w:rsid w:val="00AE6F5A"/>
    <w:rPr>
      <w:kern w:val="2"/>
      <w:sz w:val="21"/>
    </w:rPr>
  </w:style>
  <w:style w:type="character" w:customStyle="1" w:styleId="FooterChar">
    <w:name w:val="Footer Char"/>
    <w:basedOn w:val="DefaultParagraphFont"/>
    <w:link w:val="Footer"/>
    <w:uiPriority w:val="99"/>
    <w:rsid w:val="00AE6F5A"/>
    <w:rPr>
      <w:kern w:val="2"/>
      <w:sz w:val="18"/>
      <w:szCs w:val="18"/>
    </w:rPr>
  </w:style>
  <w:style w:type="character" w:styleId="CommentReference">
    <w:name w:val="annotation reference"/>
    <w:basedOn w:val="DefaultParagraphFont"/>
    <w:uiPriority w:val="99"/>
    <w:semiHidden/>
    <w:unhideWhenUsed/>
    <w:rsid w:val="007F12BB"/>
    <w:rPr>
      <w:sz w:val="16"/>
      <w:szCs w:val="16"/>
    </w:rPr>
  </w:style>
  <w:style w:type="paragraph" w:styleId="CommentText">
    <w:name w:val="annotation text"/>
    <w:basedOn w:val="Normal"/>
    <w:link w:val="CommentTextChar"/>
    <w:uiPriority w:val="99"/>
    <w:semiHidden/>
    <w:unhideWhenUsed/>
    <w:rsid w:val="007F12BB"/>
    <w:pPr>
      <w:spacing w:line="240" w:lineRule="auto"/>
    </w:pPr>
    <w:rPr>
      <w:sz w:val="20"/>
    </w:rPr>
  </w:style>
  <w:style w:type="character" w:customStyle="1" w:styleId="CommentTextChar">
    <w:name w:val="Comment Text Char"/>
    <w:basedOn w:val="DefaultParagraphFont"/>
    <w:link w:val="CommentText"/>
    <w:uiPriority w:val="99"/>
    <w:semiHidden/>
    <w:rsid w:val="007F12BB"/>
    <w:rPr>
      <w:kern w:val="2"/>
    </w:rPr>
  </w:style>
  <w:style w:type="paragraph" w:styleId="CommentSubject">
    <w:name w:val="annotation subject"/>
    <w:basedOn w:val="CommentText"/>
    <w:next w:val="CommentText"/>
    <w:link w:val="CommentSubjectChar"/>
    <w:uiPriority w:val="99"/>
    <w:semiHidden/>
    <w:unhideWhenUsed/>
    <w:rsid w:val="007F12BB"/>
    <w:rPr>
      <w:b/>
      <w:bCs/>
    </w:rPr>
  </w:style>
  <w:style w:type="character" w:customStyle="1" w:styleId="CommentSubjectChar">
    <w:name w:val="Comment Subject Char"/>
    <w:basedOn w:val="CommentTextChar"/>
    <w:link w:val="CommentSubject"/>
    <w:uiPriority w:val="99"/>
    <w:semiHidden/>
    <w:rsid w:val="007F12BB"/>
    <w:rPr>
      <w:b/>
      <w:bCs/>
      <w:kern w:val="2"/>
    </w:rPr>
  </w:style>
  <w:style w:type="paragraph" w:styleId="BalloonText">
    <w:name w:val="Balloon Text"/>
    <w:basedOn w:val="Normal"/>
    <w:link w:val="BalloonTextChar"/>
    <w:uiPriority w:val="99"/>
    <w:semiHidden/>
    <w:unhideWhenUsed/>
    <w:rsid w:val="007F12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2BB"/>
    <w:rPr>
      <w:rFonts w:ascii="Segoe UI" w:hAnsi="Segoe UI" w:cs="Segoe UI"/>
      <w:kern w:val="2"/>
      <w:sz w:val="18"/>
      <w:szCs w:val="18"/>
    </w:rPr>
  </w:style>
  <w:style w:type="character" w:styleId="Hyperlink">
    <w:name w:val="Hyperlink"/>
    <w:basedOn w:val="DefaultParagraphFont"/>
    <w:uiPriority w:val="99"/>
    <w:unhideWhenUsed/>
    <w:rsid w:val="005D2307"/>
    <w:rPr>
      <w:color w:val="0000FF" w:themeColor="hyperlink"/>
      <w:u w:val="single"/>
    </w:rPr>
  </w:style>
  <w:style w:type="paragraph" w:styleId="DocumentMap">
    <w:name w:val="Document Map"/>
    <w:basedOn w:val="Normal"/>
    <w:link w:val="DocumentMapChar"/>
    <w:uiPriority w:val="99"/>
    <w:semiHidden/>
    <w:unhideWhenUsed/>
    <w:rsid w:val="00E4522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4522D"/>
    <w:rPr>
      <w:rFonts w:ascii="Tahoma" w:hAnsi="Tahoma" w:cs="Tahoma"/>
      <w:kern w:val="2"/>
      <w:sz w:val="16"/>
      <w:szCs w:val="16"/>
    </w:rPr>
  </w:style>
  <w:style w:type="character" w:styleId="PlaceholderText">
    <w:name w:val="Placeholder Text"/>
    <w:basedOn w:val="DefaultParagraphFont"/>
    <w:uiPriority w:val="99"/>
    <w:semiHidden/>
    <w:rsid w:val="004B33EB"/>
    <w:rPr>
      <w:color w:val="808080"/>
    </w:rPr>
  </w:style>
  <w:style w:type="paragraph" w:styleId="Caption">
    <w:name w:val="caption"/>
    <w:basedOn w:val="Normal"/>
    <w:next w:val="Normal"/>
    <w:uiPriority w:val="99"/>
    <w:unhideWhenUsed/>
    <w:rsid w:val="00B25360"/>
    <w:pPr>
      <w:spacing w:after="200"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98965-1413-41B2-BB7E-4AF278744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5</Pages>
  <Words>1689</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61</cp:revision>
  <dcterms:created xsi:type="dcterms:W3CDTF">2019-04-08T03:09:00Z</dcterms:created>
  <dcterms:modified xsi:type="dcterms:W3CDTF">2020-04-10T17:18:00Z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